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3860" w14:textId="0B2EB673" w:rsidR="00FC7D37" w:rsidRDefault="00FC7D37" w:rsidP="00FC7D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</w:pPr>
      <w:r w:rsidRPr="00FC7D3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Интеграция элементов</w:t>
      </w:r>
      <w:r w:rsidRPr="00FC7D3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C7D37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>Чемпионат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>а</w:t>
      </w:r>
      <w:r w:rsidRPr="00FC7D37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 по профессиональному мастерству «Профессионалы» в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>образовательный процесс</w:t>
      </w:r>
    </w:p>
    <w:p w14:paraId="746ABD89" w14:textId="5E9EA62E" w:rsidR="00FC7D37" w:rsidRPr="00FC7D37" w:rsidRDefault="00FC7D37" w:rsidP="00FC7D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C7D37">
        <w:rPr>
          <w:rFonts w:ascii="Times New Roman" w:hAnsi="Times New Roman" w:cs="Times New Roman"/>
          <w:i/>
          <w:iCs/>
        </w:rPr>
        <w:t>Снежко Светлана Валерьевна, преподаватель, ГАПОУ СО «Красноуфимский аграрный колледж»</w:t>
      </w:r>
    </w:p>
    <w:p w14:paraId="18929C93" w14:textId="24F0CB46" w:rsidR="00FC7D37" w:rsidRPr="00FC7D37" w:rsidRDefault="00FC7D37" w:rsidP="00FC7D37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FC7D37">
        <w:rPr>
          <w:rFonts w:ascii="Times New Roman" w:hAnsi="Times New Roman" w:cs="Times New Roman"/>
          <w:i/>
          <w:iCs/>
        </w:rPr>
        <w:t>Шаритдинова</w:t>
      </w:r>
      <w:proofErr w:type="spellEnd"/>
      <w:r w:rsidRPr="00FC7D37">
        <w:rPr>
          <w:rFonts w:ascii="Times New Roman" w:hAnsi="Times New Roman" w:cs="Times New Roman"/>
          <w:i/>
          <w:iCs/>
        </w:rPr>
        <w:t xml:space="preserve"> Лариса Александровна, преподаватель, ГАПОУ СО «Красноуфимский аграрный колледж»</w:t>
      </w:r>
    </w:p>
    <w:p w14:paraId="22A1AFA1" w14:textId="3BA12AEE" w:rsidR="00FC7D37" w:rsidRPr="004021B9" w:rsidRDefault="00FC7D37" w:rsidP="004021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7D37">
        <w:rPr>
          <w:rFonts w:ascii="Times New Roman" w:hAnsi="Times New Roman" w:cs="Times New Roman"/>
        </w:rPr>
        <w:t xml:space="preserve">Проблема интеграции современных методик развития профессиональной компетентности является актуальной для средних </w:t>
      </w:r>
      <w:r>
        <w:rPr>
          <w:rFonts w:ascii="Times New Roman" w:hAnsi="Times New Roman" w:cs="Times New Roman"/>
        </w:rPr>
        <w:t xml:space="preserve">профессиональных </w:t>
      </w:r>
      <w:r w:rsidRPr="00FC7D37">
        <w:rPr>
          <w:rFonts w:ascii="Times New Roman" w:hAnsi="Times New Roman" w:cs="Times New Roman"/>
        </w:rPr>
        <w:t xml:space="preserve">учебных заведений ввиду несоответствия традиционных подходов динамично меняющимся требованиям работодателей и стандартов профессиональной деятельности. </w:t>
      </w:r>
      <w:r>
        <w:rPr>
          <w:rFonts w:ascii="Times New Roman" w:hAnsi="Times New Roman" w:cs="Times New Roman"/>
        </w:rPr>
        <w:t xml:space="preserve">Обучающиеся колледжа </w:t>
      </w:r>
      <w:r w:rsidRPr="00FC7D37">
        <w:rPr>
          <w:rFonts w:ascii="Times New Roman" w:hAnsi="Times New Roman" w:cs="Times New Roman"/>
        </w:rPr>
        <w:t>сталкиваются с нехваткой опыта практической деятельности, недостатком понимания реальных требований</w:t>
      </w:r>
      <w:r>
        <w:rPr>
          <w:rFonts w:ascii="Times New Roman" w:hAnsi="Times New Roman" w:cs="Times New Roman"/>
        </w:rPr>
        <w:t xml:space="preserve"> специальности</w:t>
      </w:r>
      <w:r w:rsidRPr="00FC7D37">
        <w:rPr>
          <w:rFonts w:ascii="Times New Roman" w:hAnsi="Times New Roman" w:cs="Times New Roman"/>
        </w:rPr>
        <w:t xml:space="preserve">, а преподаватели испытывают трудности в совмещении обязательных дисциплин и внеклассных </w:t>
      </w:r>
      <w:r w:rsidRPr="004021B9">
        <w:rPr>
          <w:rFonts w:ascii="Times New Roman" w:hAnsi="Times New Roman" w:cs="Times New Roman"/>
        </w:rPr>
        <w:t>мероприятий.</w:t>
      </w:r>
    </w:p>
    <w:p w14:paraId="2FDB6EE8" w14:textId="371FB691" w:rsidR="00FC7D37" w:rsidRDefault="00FC7D37" w:rsidP="004021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021B9">
        <w:rPr>
          <w:rFonts w:ascii="Times New Roman" w:hAnsi="Times New Roman" w:cs="Times New Roman"/>
        </w:rPr>
        <w:t>Существует необходимость модернизации учебн</w:t>
      </w:r>
      <w:r w:rsidR="004021B9">
        <w:rPr>
          <w:rFonts w:ascii="Times New Roman" w:hAnsi="Times New Roman" w:cs="Times New Roman"/>
        </w:rPr>
        <w:t>ых</w:t>
      </w:r>
      <w:r w:rsidRPr="004021B9">
        <w:rPr>
          <w:rFonts w:ascii="Times New Roman" w:hAnsi="Times New Roman" w:cs="Times New Roman"/>
        </w:rPr>
        <w:t xml:space="preserve"> программ</w:t>
      </w:r>
      <w:r w:rsidR="004021B9">
        <w:rPr>
          <w:rFonts w:ascii="Times New Roman" w:hAnsi="Times New Roman" w:cs="Times New Roman"/>
        </w:rPr>
        <w:t xml:space="preserve"> дисциплин и модулей</w:t>
      </w:r>
      <w:r w:rsidRPr="004021B9">
        <w:rPr>
          <w:rFonts w:ascii="Times New Roman" w:hAnsi="Times New Roman" w:cs="Times New Roman"/>
        </w:rPr>
        <w:t xml:space="preserve"> путем внедрения элементов конкурсов профессионального мастерства</w:t>
      </w:r>
      <w:r w:rsidR="00ED1076">
        <w:rPr>
          <w:rFonts w:ascii="Times New Roman" w:hAnsi="Times New Roman" w:cs="Times New Roman"/>
        </w:rPr>
        <w:t xml:space="preserve">, чемпионата </w:t>
      </w:r>
      <w:r w:rsidR="00ED1076" w:rsidRPr="004021B9">
        <w:rPr>
          <w:rFonts w:ascii="Times New Roman" w:hAnsi="Times New Roman" w:cs="Times New Roman"/>
        </w:rPr>
        <w:t>«</w:t>
      </w:r>
      <w:r w:rsidRPr="004021B9">
        <w:rPr>
          <w:rFonts w:ascii="Times New Roman" w:hAnsi="Times New Roman" w:cs="Times New Roman"/>
        </w:rPr>
        <w:t>Профессионалы», позволяющ</w:t>
      </w:r>
      <w:r w:rsidR="00ED1076">
        <w:rPr>
          <w:rFonts w:ascii="Times New Roman" w:hAnsi="Times New Roman" w:cs="Times New Roman"/>
        </w:rPr>
        <w:t>их</w:t>
      </w:r>
      <w:r w:rsidRPr="004021B9">
        <w:rPr>
          <w:rFonts w:ascii="Times New Roman" w:hAnsi="Times New Roman" w:cs="Times New Roman"/>
        </w:rPr>
        <w:t xml:space="preserve"> повысить </w:t>
      </w:r>
      <w:r w:rsidR="004021B9">
        <w:rPr>
          <w:rFonts w:ascii="Times New Roman" w:hAnsi="Times New Roman" w:cs="Times New Roman"/>
        </w:rPr>
        <w:t>профессиональный уровень</w:t>
      </w:r>
      <w:r w:rsidRPr="004021B9">
        <w:rPr>
          <w:rFonts w:ascii="Times New Roman" w:hAnsi="Times New Roman" w:cs="Times New Roman"/>
        </w:rPr>
        <w:t xml:space="preserve"> студентов и обеспечить адаптацию их к условиям реальной рабочей среды.</w:t>
      </w:r>
    </w:p>
    <w:p w14:paraId="79D70213" w14:textId="6AA4C3F0" w:rsidR="000E4C68" w:rsidRPr="004021B9" w:rsidRDefault="000E4C68" w:rsidP="000E4C68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</w:rPr>
      </w:pPr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ФГОС часто делает акцент на фундаментальных теоретических знаниях, в то время как</w:t>
      </w:r>
      <w:r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 xml:space="preserve"> задания Чемпионата «Профессионалы»</w:t>
      </w:r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— на практических, прикладных навыках (</w:t>
      </w:r>
      <w:proofErr w:type="spellStart"/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hard</w:t>
      </w:r>
      <w:proofErr w:type="spellEnd"/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skills</w:t>
      </w:r>
      <w:proofErr w:type="spellEnd"/>
      <w:r w:rsidRPr="0055080E"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) и скорости их выполнения. Преподавателю приходится находить баланс между двумя этими системами, что не всегда просто</w:t>
      </w:r>
      <w:r>
        <w:rPr>
          <w:rFonts w:ascii="Times New Roman" w:eastAsia="+mn-ea" w:hAnsi="Times New Roman" w:cs="Times New Roman"/>
          <w:color w:val="24292F"/>
          <w:kern w:val="24"/>
          <w:sz w:val="24"/>
          <w:szCs w:val="24"/>
          <w:lang w:eastAsia="ru-RU"/>
          <w14:ligatures w14:val="none"/>
        </w:rPr>
        <w:t>.</w:t>
      </w:r>
    </w:p>
    <w:p w14:paraId="37134B11" w14:textId="7FC49580" w:rsidR="008B74D1" w:rsidRDefault="00FC7D37" w:rsidP="004021B9">
      <w:pPr>
        <w:spacing w:after="0"/>
        <w:ind w:firstLine="708"/>
        <w:jc w:val="both"/>
        <w:rPr>
          <w:color w:val="24292F"/>
          <w:kern w:val="24"/>
          <w:sz w:val="28"/>
          <w:szCs w:val="28"/>
        </w:rPr>
      </w:pPr>
      <w:r w:rsidRPr="004021B9">
        <w:rPr>
          <w:rFonts w:ascii="Times New Roman" w:hAnsi="Times New Roman" w:cs="Times New Roman"/>
        </w:rPr>
        <w:t xml:space="preserve"> </w:t>
      </w:r>
      <w:r w:rsidR="004021B9" w:rsidRPr="004021B9">
        <w:rPr>
          <w:rFonts w:ascii="Times New Roman" w:hAnsi="Times New Roman" w:cs="Times New Roman"/>
        </w:rPr>
        <w:t>Цель исследования</w:t>
      </w:r>
      <w:r w:rsidRPr="004021B9">
        <w:rPr>
          <w:rFonts w:ascii="Times New Roman" w:hAnsi="Times New Roman" w:cs="Times New Roman"/>
        </w:rPr>
        <w:t xml:space="preserve"> состоит в разработке эффективных механизмов интеграции элементов </w:t>
      </w:r>
      <w:r w:rsidR="00ED1076">
        <w:rPr>
          <w:rFonts w:ascii="Times New Roman" w:hAnsi="Times New Roman" w:cs="Times New Roman"/>
        </w:rPr>
        <w:t>чемпионата</w:t>
      </w:r>
      <w:r w:rsidRPr="004021B9">
        <w:rPr>
          <w:rFonts w:ascii="Times New Roman" w:hAnsi="Times New Roman" w:cs="Times New Roman"/>
        </w:rPr>
        <w:t xml:space="preserve"> профессионального мастерства в образовательный процесс</w:t>
      </w:r>
      <w:r w:rsidR="004021B9">
        <w:rPr>
          <w:rFonts w:ascii="Times New Roman" w:hAnsi="Times New Roman" w:cs="Times New Roman"/>
        </w:rPr>
        <w:t>.</w:t>
      </w:r>
      <w:r w:rsidR="004021B9" w:rsidRP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Не готовить отдельных «чемпионов», а поднять общий уровень подготовки всей группы. Разработать </w:t>
      </w:r>
      <w:r w:rsidR="004021B9" w:rsidRPr="004021B9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конкретные предложения </w:t>
      </w:r>
      <w:r w:rsidR="004021B9" w:rsidRP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по интеграции элементов компетенции</w:t>
      </w:r>
      <w:r w:rsid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«Предпринимательство»</w:t>
      </w:r>
      <w:r w:rsidR="004021B9" w:rsidRP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в текущие дисциплины </w:t>
      </w:r>
      <w:r w:rsid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и профессиональные модули </w:t>
      </w:r>
      <w:r w:rsidR="004021B9" w:rsidRP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учебного плана</w:t>
      </w:r>
      <w:r w:rsidR="004021B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, а также в мероприятия внеучебной деятельности.</w:t>
      </w:r>
      <w:r w:rsidR="008B74D1" w:rsidRPr="008B74D1">
        <w:rPr>
          <w:color w:val="24292F"/>
          <w:kern w:val="24"/>
          <w:sz w:val="28"/>
          <w:szCs w:val="28"/>
        </w:rPr>
        <w:t xml:space="preserve"> </w:t>
      </w:r>
    </w:p>
    <w:p w14:paraId="2AFA6D43" w14:textId="56FC785D" w:rsidR="004021B9" w:rsidRPr="008B74D1" w:rsidRDefault="008B74D1" w:rsidP="008B74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74D1">
        <w:rPr>
          <w:rFonts w:ascii="Times New Roman" w:hAnsi="Times New Roman" w:cs="Times New Roman"/>
          <w:color w:val="24292F"/>
          <w:kern w:val="24"/>
        </w:rPr>
        <w:t>Задача не в том, чтобы сделать из 25 человек 25 призеров Чемпионата «Профессионалы». Это невозможно и не нужно. Задача в том, чтобы дать всем студентам возможность учиться по современным, стандартизированным, практико-ориентированным методикам, которые используют лучшие в своей области</w:t>
      </w:r>
      <w:r>
        <w:rPr>
          <w:rFonts w:ascii="Times New Roman" w:hAnsi="Times New Roman" w:cs="Times New Roman"/>
          <w:color w:val="24292F"/>
          <w:kern w:val="24"/>
        </w:rPr>
        <w:t>.</w:t>
      </w:r>
    </w:p>
    <w:p w14:paraId="127DF268" w14:textId="77777777" w:rsidR="000E4C68" w:rsidRDefault="003B02CE" w:rsidP="004021B9">
      <w:pPr>
        <w:spacing w:after="0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Р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>ассмотрим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методику интеграции элементов </w:t>
      </w:r>
      <w:r w:rsidR="0017186E">
        <w:rPr>
          <w:rFonts w:ascii="Times New Roman" w:eastAsia="+mn-ea" w:hAnsi="Times New Roman" w:cs="Times New Roman"/>
          <w:color w:val="000000"/>
          <w:kern w:val="24"/>
          <w14:ligatures w14:val="none"/>
        </w:rPr>
        <w:t>Ч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емпионат</w:t>
      </w:r>
      <w:r w:rsid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>а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профессионального мастерства</w:t>
      </w:r>
      <w:r w:rsid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«Профессионалы»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в учебные программы 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дисциплин и модулей 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по специальности «Коммерция (по отраслям)»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, также во внеурочные мероприятия 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для повышения качества профессиональной подготовки обучающихся</w:t>
      </w:r>
      <w:r w:rsidRPr="003B02CE">
        <w:rPr>
          <w:rFonts w:ascii="Times New Roman" w:eastAsia="+mn-ea" w:hAnsi="Times New Roman" w:cs="Times New Roman"/>
          <w:color w:val="E6E6E6"/>
          <w:kern w:val="24"/>
          <w14:ligatures w14:val="none"/>
        </w:rPr>
        <w:t xml:space="preserve"> 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за счет развития соревновательного духа, командной работы и практического применения знани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й. </w:t>
      </w:r>
    </w:p>
    <w:p w14:paraId="628F1B87" w14:textId="77777777" w:rsidR="00ED1076" w:rsidRPr="000E4C68" w:rsidRDefault="00ED1076" w:rsidP="00ED10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E4C68">
        <w:rPr>
          <w:rFonts w:ascii="Times New Roman" w:hAnsi="Times New Roman" w:cs="Times New Roman"/>
        </w:rPr>
        <w:t xml:space="preserve">Анализируя ситуацию в </w:t>
      </w:r>
      <w:r>
        <w:rPr>
          <w:rFonts w:ascii="Times New Roman" w:hAnsi="Times New Roman" w:cs="Times New Roman"/>
        </w:rPr>
        <w:t>колледже</w:t>
      </w:r>
      <w:r w:rsidRPr="000E4C68">
        <w:rPr>
          <w:rFonts w:ascii="Times New Roman" w:hAnsi="Times New Roman" w:cs="Times New Roman"/>
        </w:rPr>
        <w:t>, предл</w:t>
      </w:r>
      <w:r>
        <w:rPr>
          <w:rFonts w:ascii="Times New Roman" w:hAnsi="Times New Roman" w:cs="Times New Roman"/>
        </w:rPr>
        <w:t>агаем</w:t>
      </w:r>
      <w:r w:rsidRPr="000E4C68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у</w:t>
      </w:r>
      <w:r w:rsidRPr="000E4C68">
        <w:rPr>
          <w:rFonts w:ascii="Times New Roman" w:hAnsi="Times New Roman" w:cs="Times New Roman"/>
        </w:rPr>
        <w:t xml:space="preserve"> мер, направленн</w:t>
      </w:r>
      <w:r>
        <w:rPr>
          <w:rFonts w:ascii="Times New Roman" w:hAnsi="Times New Roman" w:cs="Times New Roman"/>
        </w:rPr>
        <w:t>ую</w:t>
      </w:r>
      <w:r w:rsidRPr="000E4C68">
        <w:rPr>
          <w:rFonts w:ascii="Times New Roman" w:hAnsi="Times New Roman" w:cs="Times New Roman"/>
        </w:rPr>
        <w:t xml:space="preserve"> на создание условий для эффективного внедрения элементов профессиональных конкурсов в учебный процесс</w:t>
      </w:r>
      <w:r>
        <w:rPr>
          <w:rFonts w:ascii="Times New Roman" w:hAnsi="Times New Roman" w:cs="Times New Roman"/>
        </w:rPr>
        <w:t>, а также во внеурочную деятельность, которые в</w:t>
      </w:r>
      <w:r w:rsidRPr="000E4C68">
        <w:rPr>
          <w:rFonts w:ascii="Times New Roman" w:hAnsi="Times New Roman" w:cs="Times New Roman"/>
        </w:rPr>
        <w:t xml:space="preserve">ключают </w:t>
      </w:r>
      <w:r>
        <w:rPr>
          <w:rFonts w:ascii="Times New Roman" w:hAnsi="Times New Roman" w:cs="Times New Roman"/>
        </w:rPr>
        <w:t>корректировку</w:t>
      </w:r>
      <w:r w:rsidRPr="000E4C68">
        <w:rPr>
          <w:rFonts w:ascii="Times New Roman" w:hAnsi="Times New Roman" w:cs="Times New Roman"/>
        </w:rPr>
        <w:t xml:space="preserve"> рабочих планов, введение факультативных курсов, повышение квалификации преподавателей, взаимодействие с работодателями и организациями, поддерживающими движение профессионального мастерства.</w:t>
      </w:r>
    </w:p>
    <w:p w14:paraId="27200560" w14:textId="77777777" w:rsidR="00ED1076" w:rsidRDefault="00ED1076" w:rsidP="00ED1076">
      <w:pPr>
        <w:spacing w:after="0"/>
        <w:jc w:val="both"/>
        <w:rPr>
          <w:rFonts w:ascii="Times New Roman" w:hAnsi="Times New Roman" w:cs="Times New Roman"/>
        </w:rPr>
      </w:pPr>
      <w:r w:rsidRPr="000E4C68">
        <w:rPr>
          <w:rFonts w:ascii="Times New Roman" w:hAnsi="Times New Roman" w:cs="Times New Roman"/>
        </w:rPr>
        <w:t>Особый акцент сделан на формировании учебно-методического комплекса, способствующего освоению важнейших профессиональных компетенций, а также проведении мониторинга достижений студентов и педагогов.</w:t>
      </w:r>
    </w:p>
    <w:p w14:paraId="4C900CBB" w14:textId="20A662BC" w:rsidR="004021B9" w:rsidRDefault="003B02CE" w:rsidP="004021B9">
      <w:pPr>
        <w:spacing w:after="0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>В таблице 1 представлены формы интеграции элементов Чемпионата</w:t>
      </w:r>
      <w:r w:rsidR="000E4C68" w:rsidRP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r w:rsidR="000E4C68"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профессионального мастерства</w:t>
      </w:r>
      <w:r w:rsid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«Профессионалы» в образовательный процесс колледжа.</w:t>
      </w:r>
    </w:p>
    <w:p w14:paraId="77DCC7FF" w14:textId="69602BC2" w:rsidR="000E4C68" w:rsidRDefault="000E4C68" w:rsidP="000E4C68">
      <w:pPr>
        <w:spacing w:after="0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>Таблица 1</w:t>
      </w:r>
      <w:r w:rsidRP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>Интеграции элементов Чемпионата</w:t>
      </w:r>
      <w:r w:rsidRPr="000E4C68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r w:rsidRPr="003B02CE">
        <w:rPr>
          <w:rFonts w:ascii="Times New Roman" w:eastAsia="+mn-ea" w:hAnsi="Times New Roman" w:cs="Times New Roman"/>
          <w:color w:val="000000"/>
          <w:kern w:val="24"/>
          <w14:ligatures w14:val="none"/>
        </w:rPr>
        <w:t>профессионального мастерства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«Профессионалы» в образовательный процесс колледжа.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54"/>
        <w:gridCol w:w="1749"/>
        <w:gridCol w:w="2071"/>
        <w:gridCol w:w="2220"/>
      </w:tblGrid>
      <w:tr w:rsidR="003B02CE" w:rsidRPr="003B02CE" w14:paraId="67B06D31" w14:textId="77777777" w:rsidTr="00ED1076">
        <w:trPr>
          <w:trHeight w:val="293"/>
        </w:trPr>
        <w:tc>
          <w:tcPr>
            <w:tcW w:w="1651" w:type="dxa"/>
            <w:vMerge w:val="restart"/>
          </w:tcPr>
          <w:p w14:paraId="524A978D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Дисциплина учебного плана</w:t>
            </w:r>
          </w:p>
        </w:tc>
        <w:tc>
          <w:tcPr>
            <w:tcW w:w="1654" w:type="dxa"/>
            <w:vMerge w:val="restart"/>
          </w:tcPr>
          <w:p w14:paraId="12A4E31A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Конкретный элемент компетенции Чемпионата</w:t>
            </w:r>
          </w:p>
        </w:tc>
        <w:tc>
          <w:tcPr>
            <w:tcW w:w="3820" w:type="dxa"/>
            <w:gridSpan w:val="2"/>
          </w:tcPr>
          <w:p w14:paraId="5AA91EFB" w14:textId="048269C1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Форма интеграции </w:t>
            </w:r>
          </w:p>
        </w:tc>
        <w:tc>
          <w:tcPr>
            <w:tcW w:w="2220" w:type="dxa"/>
            <w:vMerge w:val="restart"/>
          </w:tcPr>
          <w:p w14:paraId="2516686A" w14:textId="0C1A5A98" w:rsidR="003B02CE" w:rsidRPr="003B02CE" w:rsidRDefault="000E4C68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Решение проблем</w:t>
            </w:r>
          </w:p>
        </w:tc>
      </w:tr>
      <w:tr w:rsidR="003B02CE" w:rsidRPr="003B02CE" w14:paraId="2B2316AC" w14:textId="77777777" w:rsidTr="000E4C68">
        <w:trPr>
          <w:trHeight w:val="615"/>
        </w:trPr>
        <w:tc>
          <w:tcPr>
            <w:tcW w:w="1651" w:type="dxa"/>
            <w:vMerge/>
          </w:tcPr>
          <w:p w14:paraId="7659E3F6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654" w:type="dxa"/>
            <w:vMerge/>
          </w:tcPr>
          <w:p w14:paraId="718B5B8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49" w:type="dxa"/>
          </w:tcPr>
          <w:p w14:paraId="0A438AB0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учебный процесс</w:t>
            </w:r>
          </w:p>
        </w:tc>
        <w:tc>
          <w:tcPr>
            <w:tcW w:w="2071" w:type="dxa"/>
          </w:tcPr>
          <w:p w14:paraId="5C2C356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внеурочная</w:t>
            </w:r>
          </w:p>
          <w:p w14:paraId="2709F52E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деятельность</w:t>
            </w:r>
          </w:p>
        </w:tc>
        <w:tc>
          <w:tcPr>
            <w:tcW w:w="2220" w:type="dxa"/>
            <w:vMerge/>
          </w:tcPr>
          <w:p w14:paraId="440FBF1A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B02CE" w:rsidRPr="003B02CE" w14:paraId="46FF4F8F" w14:textId="77777777" w:rsidTr="000E4C68">
        <w:tc>
          <w:tcPr>
            <w:tcW w:w="1651" w:type="dxa"/>
          </w:tcPr>
          <w:p w14:paraId="7C29903C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УП Индивидуально</w:t>
            </w: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е проектирование</w:t>
            </w:r>
          </w:p>
        </w:tc>
        <w:tc>
          <w:tcPr>
            <w:tcW w:w="1654" w:type="dxa"/>
          </w:tcPr>
          <w:p w14:paraId="618F4023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Оформление проекта по </w:t>
            </w: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требованиям стандарта</w:t>
            </w:r>
          </w:p>
        </w:tc>
        <w:tc>
          <w:tcPr>
            <w:tcW w:w="1749" w:type="dxa"/>
          </w:tcPr>
          <w:p w14:paraId="4F9C5FB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Индивидуальный проект</w:t>
            </w:r>
          </w:p>
        </w:tc>
        <w:tc>
          <w:tcPr>
            <w:tcW w:w="2071" w:type="dxa"/>
          </w:tcPr>
          <w:p w14:paraId="3D1204D8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Конкурс презентаций, реализация </w:t>
            </w:r>
            <w:r w:rsidRPr="003B0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программы наставничества по модели «Обучающийся-обучающийся», работа обучающегося- наставника в качестве эксперта при защите индивидуальных проектов</w:t>
            </w:r>
          </w:p>
        </w:tc>
        <w:tc>
          <w:tcPr>
            <w:tcW w:w="2220" w:type="dxa"/>
            <w:vMerge w:val="restart"/>
          </w:tcPr>
          <w:p w14:paraId="6B11F9D6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lastRenderedPageBreak/>
              <w:t xml:space="preserve">Отсутствие интеграции заданий чемпионата </w:t>
            </w: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lastRenderedPageBreak/>
              <w:t>профессионального мастерства "Профессионалы" с ФГОС СПО по специальности «Коммерция (по отраслям)»</w:t>
            </w:r>
          </w:p>
          <w:p w14:paraId="2BAA800D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"Выжженная земля": Все студенты получают ценный навык при оформлении проекта, а не только избранные.</w:t>
            </w:r>
          </w:p>
        </w:tc>
      </w:tr>
      <w:tr w:rsidR="003B02CE" w:rsidRPr="003B02CE" w14:paraId="07F4EA39" w14:textId="77777777" w:rsidTr="000E4C68">
        <w:tc>
          <w:tcPr>
            <w:tcW w:w="1651" w:type="dxa"/>
          </w:tcPr>
          <w:p w14:paraId="4B9BFCD0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УП Информатика</w:t>
            </w:r>
          </w:p>
        </w:tc>
        <w:tc>
          <w:tcPr>
            <w:tcW w:w="1654" w:type="dxa"/>
          </w:tcPr>
          <w:p w14:paraId="3A3E8590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Оформление проекта по требованиям стандарта -</w:t>
            </w: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B96C287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Модуль А Бизнес – план</w:t>
            </w:r>
          </w:p>
        </w:tc>
        <w:tc>
          <w:tcPr>
            <w:tcW w:w="1749" w:type="dxa"/>
          </w:tcPr>
          <w:p w14:paraId="31B16705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Оформление таблиц в </w:t>
            </w: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EXCEL</w:t>
            </w: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и текста в </w:t>
            </w: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WORD</w:t>
            </w:r>
          </w:p>
        </w:tc>
        <w:tc>
          <w:tcPr>
            <w:tcW w:w="2071" w:type="dxa"/>
          </w:tcPr>
          <w:p w14:paraId="7DCA0A92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</w:tcPr>
          <w:p w14:paraId="4B04887C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3B02CE" w:rsidRPr="003B02CE" w14:paraId="4CA8BE34" w14:textId="77777777" w:rsidTr="000E4C68">
        <w:tc>
          <w:tcPr>
            <w:tcW w:w="1651" w:type="dxa"/>
            <w:vMerge w:val="restart"/>
          </w:tcPr>
          <w:p w14:paraId="59CA32C5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УД. Экономика организации</w:t>
            </w:r>
          </w:p>
        </w:tc>
        <w:tc>
          <w:tcPr>
            <w:tcW w:w="1654" w:type="dxa"/>
          </w:tcPr>
          <w:p w14:paraId="3D0A93E5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Издержки производства и себестоимость продукции</w:t>
            </w:r>
          </w:p>
          <w:p w14:paraId="59D89A5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Модуль Е </w:t>
            </w:r>
            <w:proofErr w:type="spellStart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Технико</w:t>
            </w:r>
            <w:proofErr w:type="spellEnd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– экономическое обоснование проекта</w:t>
            </w:r>
          </w:p>
        </w:tc>
        <w:tc>
          <w:tcPr>
            <w:tcW w:w="1749" w:type="dxa"/>
          </w:tcPr>
          <w:p w14:paraId="65A6203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Практическое занятие по теме «Составление сметы затрат и калькуляция себестоимости продукции, товара, услуги»</w:t>
            </w:r>
          </w:p>
        </w:tc>
        <w:tc>
          <w:tcPr>
            <w:tcW w:w="2071" w:type="dxa"/>
            <w:vMerge w:val="restart"/>
          </w:tcPr>
          <w:p w14:paraId="312F0705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42D1C43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A22131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E0092D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CCDBEB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1D79C6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FD56BA1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8F035D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80D4A3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6A407D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Реализация программы наставничества по модели «Обучающийся-обучающийся» в качестве консультанта при подготовке к Чемпионату и Фестивалю:</w:t>
            </w:r>
          </w:p>
          <w:p w14:paraId="5A38DBFE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02CE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  <w:t xml:space="preserve"> Международный фестиваль студенческих бизнес-идей «Золотой</w:t>
            </w:r>
          </w:p>
          <w:p w14:paraId="525C7E5B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02CE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  <w:t>саквояж -2025»;</w:t>
            </w:r>
            <w:r w:rsidRPr="003B02CE">
              <w:rPr>
                <w:rFonts w:ascii="Calibri" w:eastAsia="Times New Roman" w:hAnsi="Calibri" w:cs="Times New Roman"/>
                <w:color w:val="34343C"/>
                <w:kern w:val="0"/>
                <w:lang w:eastAsia="ru-RU"/>
                <w14:ligatures w14:val="none"/>
              </w:rPr>
              <w:t xml:space="preserve"> </w:t>
            </w:r>
          </w:p>
          <w:p w14:paraId="41685628" w14:textId="77777777" w:rsidR="003B02CE" w:rsidRPr="003B02CE" w:rsidRDefault="003B02CE" w:rsidP="000E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02CE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  <w14:ligatures w14:val="none"/>
              </w:rPr>
              <w:t>Межрегиональный чемпионат предпринимательских, технических проектов и бизнес – идей «Перспектива»</w:t>
            </w:r>
          </w:p>
          <w:p w14:paraId="5ABE01FD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</w:tcPr>
          <w:p w14:paraId="465F2F5C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3B02CE" w:rsidRPr="003B02CE" w14:paraId="6703C350" w14:textId="77777777" w:rsidTr="000E4C68">
        <w:tc>
          <w:tcPr>
            <w:tcW w:w="1651" w:type="dxa"/>
            <w:vMerge/>
          </w:tcPr>
          <w:p w14:paraId="0095AC4F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</w:tcPr>
          <w:p w14:paraId="08FFF6E5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Технико-экономическое обоснование проекта</w:t>
            </w: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Модуль Е </w:t>
            </w:r>
            <w:proofErr w:type="spellStart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Технико</w:t>
            </w:r>
            <w:proofErr w:type="spellEnd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– экономическое обоснование проекта</w:t>
            </w:r>
          </w:p>
        </w:tc>
        <w:tc>
          <w:tcPr>
            <w:tcW w:w="1749" w:type="dxa"/>
          </w:tcPr>
          <w:p w14:paraId="5EAF5867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Курсовая работа</w:t>
            </w:r>
          </w:p>
        </w:tc>
        <w:tc>
          <w:tcPr>
            <w:tcW w:w="2071" w:type="dxa"/>
            <w:vMerge/>
          </w:tcPr>
          <w:p w14:paraId="07DF4904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220" w:type="dxa"/>
            <w:vMerge/>
          </w:tcPr>
          <w:p w14:paraId="1C00D54E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3B02CE" w:rsidRPr="003B02CE" w14:paraId="5379CC5E" w14:textId="77777777" w:rsidTr="000E4C68">
        <w:tc>
          <w:tcPr>
            <w:tcW w:w="1651" w:type="dxa"/>
          </w:tcPr>
          <w:p w14:paraId="1668B3D3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МДК 02.03 Маркетинг</w:t>
            </w:r>
          </w:p>
        </w:tc>
        <w:tc>
          <w:tcPr>
            <w:tcW w:w="1654" w:type="dxa"/>
          </w:tcPr>
          <w:p w14:paraId="49C75E5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Маркетинговые исследования</w:t>
            </w:r>
          </w:p>
          <w:p w14:paraId="007C4F9D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Модуль Г Маркетинговое планирование </w:t>
            </w:r>
          </w:p>
        </w:tc>
        <w:tc>
          <w:tcPr>
            <w:tcW w:w="1749" w:type="dxa"/>
          </w:tcPr>
          <w:p w14:paraId="3C06D922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>Практическое занятие по теме «Маркетинговые исследования»</w:t>
            </w:r>
          </w:p>
        </w:tc>
        <w:tc>
          <w:tcPr>
            <w:tcW w:w="2071" w:type="dxa"/>
            <w:vMerge/>
          </w:tcPr>
          <w:p w14:paraId="6DC4AF70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220" w:type="dxa"/>
            <w:vMerge/>
          </w:tcPr>
          <w:p w14:paraId="2D8B48E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3B02CE" w:rsidRPr="003B02CE" w14:paraId="11CA34C6" w14:textId="77777777" w:rsidTr="000E4C68">
        <w:tc>
          <w:tcPr>
            <w:tcW w:w="1651" w:type="dxa"/>
          </w:tcPr>
          <w:p w14:paraId="02A2204C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МДК 01.04 Бизнес-планирование</w:t>
            </w:r>
          </w:p>
        </w:tc>
        <w:tc>
          <w:tcPr>
            <w:tcW w:w="1654" w:type="dxa"/>
          </w:tcPr>
          <w:p w14:paraId="20BDB78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Составление бизнес-плана</w:t>
            </w:r>
          </w:p>
          <w:p w14:paraId="2936D7E4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Модуль А Бизнес – план</w:t>
            </w:r>
          </w:p>
          <w:p w14:paraId="38051D7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749588B" w14:textId="10285898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Модуль В Целевая аудитория</w:t>
            </w:r>
          </w:p>
          <w:p w14:paraId="13D6AA4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Модуль Г Маркетинговое планирование</w:t>
            </w:r>
          </w:p>
          <w:p w14:paraId="2D505C10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Модуль Д Планирование рабочего процесса</w:t>
            </w:r>
          </w:p>
        </w:tc>
        <w:tc>
          <w:tcPr>
            <w:tcW w:w="1749" w:type="dxa"/>
          </w:tcPr>
          <w:p w14:paraId="7EE8909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Курсовая работа,</w:t>
            </w:r>
            <w:r w:rsidRPr="003B02CE">
              <w:rPr>
                <w:rFonts w:ascii="Calibri" w:eastAsia="Calibri" w:hAnsi="Calibri" w:cs="Times New Roman"/>
                <w:b/>
                <w:bCs/>
                <w:kern w:val="0"/>
                <w:shd w:val="clear" w:color="auto" w:fill="FFFFFF"/>
                <w14:ligatures w14:val="none"/>
              </w:rPr>
              <w:t xml:space="preserve"> </w:t>
            </w:r>
            <w:r w:rsidRPr="003B02CE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>прохождение обучения «Стартуй уверено «Экстра»</w:t>
            </w:r>
          </w:p>
        </w:tc>
        <w:tc>
          <w:tcPr>
            <w:tcW w:w="2071" w:type="dxa"/>
            <w:vMerge/>
          </w:tcPr>
          <w:p w14:paraId="3B004607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220" w:type="dxa"/>
          </w:tcPr>
          <w:p w14:paraId="3EDDD489" w14:textId="77777777" w:rsidR="003B02CE" w:rsidRPr="003B02CE" w:rsidRDefault="003B02CE" w:rsidP="000E4C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</w:pPr>
            <w:r w:rsidRPr="003B02CE"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  <w:t>"</w:t>
            </w: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  <w:t>Двойная нагрузка и неучтенный труд"</w:t>
            </w:r>
          </w:p>
          <w:p w14:paraId="5F2F58B8" w14:textId="77777777" w:rsidR="003B02CE" w:rsidRPr="003B02CE" w:rsidRDefault="003B02CE" w:rsidP="000E4C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</w:pPr>
          </w:p>
          <w:p w14:paraId="366B7997" w14:textId="77777777" w:rsidR="003B02CE" w:rsidRPr="003B02CE" w:rsidRDefault="003B02CE" w:rsidP="000E4C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3B0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"Выжженная земля": Все студенты получают ценный навык при оформлении проекта, а не только избранные.</w:t>
            </w:r>
          </w:p>
          <w:p w14:paraId="54245B2A" w14:textId="77777777" w:rsidR="003B02CE" w:rsidRPr="003B02CE" w:rsidRDefault="003B02CE" w:rsidP="000E4C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3B02CE" w:rsidRPr="003B02CE" w14:paraId="1055CD2A" w14:textId="77777777" w:rsidTr="000E4C68">
        <w:tc>
          <w:tcPr>
            <w:tcW w:w="1651" w:type="dxa"/>
          </w:tcPr>
          <w:p w14:paraId="15575398" w14:textId="77777777" w:rsidR="003B02CE" w:rsidRPr="003B02CE" w:rsidRDefault="003B02CE" w:rsidP="000E4C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МДК 02.01 Финансы, налоги и налогообложение</w:t>
            </w:r>
          </w:p>
        </w:tc>
        <w:tc>
          <w:tcPr>
            <w:tcW w:w="1654" w:type="dxa"/>
          </w:tcPr>
          <w:p w14:paraId="522EA285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Выбор режима налогообложения</w:t>
            </w:r>
          </w:p>
          <w:p w14:paraId="621D99E9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Модуль Е </w:t>
            </w:r>
            <w:proofErr w:type="spellStart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Технико</w:t>
            </w:r>
            <w:proofErr w:type="spellEnd"/>
            <w:r w:rsidRPr="003B02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– экономическое обоснование проекта</w:t>
            </w:r>
          </w:p>
        </w:tc>
        <w:tc>
          <w:tcPr>
            <w:tcW w:w="1749" w:type="dxa"/>
          </w:tcPr>
          <w:p w14:paraId="24A6786E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>Практическое занятие по теме: «Обоснование режима налогообложения»</w:t>
            </w:r>
          </w:p>
        </w:tc>
        <w:tc>
          <w:tcPr>
            <w:tcW w:w="2071" w:type="dxa"/>
            <w:vMerge/>
          </w:tcPr>
          <w:p w14:paraId="2166E64F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220" w:type="dxa"/>
          </w:tcPr>
          <w:p w14:paraId="66A73EC3" w14:textId="77777777" w:rsidR="003B02CE" w:rsidRPr="003B02CE" w:rsidRDefault="003B02CE" w:rsidP="000E4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Отсутствие интеграции заданий чемпионата профессионального мастерства "Профессионалы" с ФГОС СПО по специальности </w:t>
            </w: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lastRenderedPageBreak/>
              <w:t>«Коммерция (по отраслям)»</w:t>
            </w:r>
          </w:p>
          <w:p w14:paraId="391FB454" w14:textId="77777777" w:rsidR="003B02CE" w:rsidRPr="003B02CE" w:rsidRDefault="003B02CE" w:rsidP="000E4C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  <w:t xml:space="preserve">"Шаблон против творчества": </w:t>
            </w:r>
            <w:proofErr w:type="spellStart"/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  <w:t>зарегламентированность</w:t>
            </w:r>
            <w:proofErr w:type="spellEnd"/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  <w14:ligatures w14:val="none"/>
              </w:rPr>
              <w:t xml:space="preserve"> и боязнь ошибки</w:t>
            </w:r>
          </w:p>
        </w:tc>
      </w:tr>
      <w:tr w:rsidR="003B02CE" w:rsidRPr="003B02CE" w14:paraId="4821D541" w14:textId="77777777" w:rsidTr="000E4C68">
        <w:trPr>
          <w:trHeight w:val="1336"/>
        </w:trPr>
        <w:tc>
          <w:tcPr>
            <w:tcW w:w="1651" w:type="dxa"/>
          </w:tcPr>
          <w:p w14:paraId="46AC8525" w14:textId="77777777" w:rsidR="003B02CE" w:rsidRPr="003B02CE" w:rsidRDefault="003B02CE" w:rsidP="003B02C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Защита дипломной работы</w:t>
            </w:r>
          </w:p>
        </w:tc>
        <w:tc>
          <w:tcPr>
            <w:tcW w:w="1654" w:type="dxa"/>
          </w:tcPr>
          <w:p w14:paraId="637CC1D1" w14:textId="77777777" w:rsidR="003B02CE" w:rsidRPr="003B02CE" w:rsidRDefault="003B02CE" w:rsidP="003B02C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</w:tcPr>
          <w:p w14:paraId="442465E9" w14:textId="77777777" w:rsidR="003B02CE" w:rsidRPr="003B02CE" w:rsidRDefault="003B02CE" w:rsidP="003B02CE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071" w:type="dxa"/>
          </w:tcPr>
          <w:p w14:paraId="43668691" w14:textId="77777777" w:rsidR="003B02CE" w:rsidRPr="003B02CE" w:rsidRDefault="003B02CE" w:rsidP="003B02CE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2220" w:type="dxa"/>
          </w:tcPr>
          <w:p w14:paraId="4F454A3B" w14:textId="77777777" w:rsidR="003B02CE" w:rsidRPr="003B02CE" w:rsidRDefault="003B02CE" w:rsidP="003B02CE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02C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  <w:t>Решает проблемы:</w:t>
            </w:r>
          </w:p>
          <w:p w14:paraId="303DA64E" w14:textId="77777777" w:rsidR="003B02CE" w:rsidRPr="003B02CE" w:rsidRDefault="003B02CE" w:rsidP="003B02CE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</w:pPr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"Шаблон против творчества": </w:t>
            </w:r>
            <w:proofErr w:type="spellStart"/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зарегламентированность</w:t>
            </w:r>
            <w:proofErr w:type="spellEnd"/>
            <w:r w:rsidRPr="003B02C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и боязнь ошибки</w:t>
            </w:r>
          </w:p>
        </w:tc>
      </w:tr>
    </w:tbl>
    <w:p w14:paraId="34546514" w14:textId="77777777" w:rsidR="00AD7A18" w:rsidRPr="000E4C68" w:rsidRDefault="00AD7A18" w:rsidP="000E4C68">
      <w:pPr>
        <w:spacing w:after="0"/>
        <w:jc w:val="both"/>
        <w:rPr>
          <w:rFonts w:ascii="Times New Roman" w:hAnsi="Times New Roman" w:cs="Times New Roman"/>
        </w:rPr>
      </w:pPr>
    </w:p>
    <w:p w14:paraId="1F275E74" w14:textId="24B68B4E" w:rsidR="00AD7A18" w:rsidRPr="008B74D1" w:rsidRDefault="00AD7A18" w:rsidP="00AD7A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B74D1">
        <w:rPr>
          <w:rFonts w:ascii="Times New Roman" w:hAnsi="Times New Roman" w:cs="Times New Roman"/>
        </w:rPr>
        <w:t>Интеграция элементов конкурса позволяет повысить качество подготовки будущих профессионалов, обеспечивая необходимые условия для адаптации выпускников к современной рыночной среде.</w:t>
      </w:r>
    </w:p>
    <w:p w14:paraId="07B56FF4" w14:textId="77777777" w:rsidR="00AD7A18" w:rsidRPr="00AD7A18" w:rsidRDefault="00AD7A18" w:rsidP="00AD7A18">
      <w:pPr>
        <w:pStyle w:val="ad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AD7A18">
        <w:rPr>
          <w:color w:val="24292F"/>
          <w:kern w:val="24"/>
          <w:sz w:val="22"/>
          <w:szCs w:val="22"/>
        </w:rPr>
        <w:t>Для большинства студентов это будет качественное, конкурентоспособное образование, соответствующее требованиям рынка труда и дальнейшее формирование профессиональной судьбы</w:t>
      </w:r>
    </w:p>
    <w:p w14:paraId="1D0050E0" w14:textId="0732573A" w:rsidR="00AD7A18" w:rsidRPr="00AD7A18" w:rsidRDefault="00AD7A18" w:rsidP="00AD7A18">
      <w:pPr>
        <w:pStyle w:val="ad"/>
        <w:kinsoku w:val="0"/>
        <w:overflowPunct w:val="0"/>
        <w:spacing w:before="0" w:beforeAutospacing="0" w:after="0" w:afterAutospacing="0"/>
        <w:ind w:firstLine="22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  <w:r w:rsidRPr="00AD7A18">
        <w:rPr>
          <w:color w:val="24292F"/>
          <w:kern w:val="24"/>
          <w:sz w:val="22"/>
          <w:szCs w:val="22"/>
        </w:rPr>
        <w:t>Для мотивированных студентов это будет «трамплин» для более глубокого погружения и участия в проектах и конкурсах профессионального мастерства</w:t>
      </w:r>
      <w:r>
        <w:rPr>
          <w:color w:val="24292F"/>
          <w:kern w:val="24"/>
          <w:sz w:val="22"/>
          <w:szCs w:val="22"/>
        </w:rPr>
        <w:t xml:space="preserve">. </w:t>
      </w:r>
      <w:r w:rsidRPr="00AD7A18">
        <w:rPr>
          <w:color w:val="000000"/>
          <w:kern w:val="24"/>
          <w:sz w:val="22"/>
          <w:szCs w:val="22"/>
        </w:rPr>
        <w:t xml:space="preserve">Для 2-3 студентов — путь на региональный этап, национальный и мировой чемпионаты по компетенции «Предпринимательство», а также имеющих приглашение от социальных экспертов, дающих </w:t>
      </w:r>
      <w:r w:rsidRPr="00AD7A18">
        <w:rPr>
          <w:rFonts w:eastAsia="Calibri"/>
          <w:color w:val="000000"/>
          <w:kern w:val="24"/>
          <w:sz w:val="22"/>
          <w:szCs w:val="22"/>
        </w:rPr>
        <w:t>преимущество при трудоустройстве.</w:t>
      </w:r>
      <w:r w:rsidRPr="00AD7A18">
        <w:rPr>
          <w:rFonts w:eastAsia="+mn-ea"/>
          <w:color w:val="000000"/>
          <w:kern w:val="24"/>
          <w:sz w:val="22"/>
          <w:szCs w:val="22"/>
        </w:rPr>
        <w:t xml:space="preserve"> </w:t>
      </w:r>
    </w:p>
    <w:p w14:paraId="26402305" w14:textId="0A86D046" w:rsidR="00AD7A18" w:rsidRPr="00AD7A18" w:rsidRDefault="00AD7A18" w:rsidP="00AD7A1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AD7A18">
        <w:rPr>
          <w:rFonts w:eastAsia="+mn-ea"/>
          <w:color w:val="000000"/>
          <w:kern w:val="24"/>
          <w:sz w:val="22"/>
          <w:szCs w:val="22"/>
        </w:rPr>
        <w:t xml:space="preserve">Для преподавателя: </w:t>
      </w:r>
      <w:r w:rsidRPr="00AD7A18">
        <w:rPr>
          <w:color w:val="24292F"/>
          <w:kern w:val="24"/>
          <w:sz w:val="22"/>
          <w:szCs w:val="22"/>
        </w:rPr>
        <w:t xml:space="preserve">Создатель образовательной среды: Он разрабатывает систему заданий, инструкций и критериев оценки, с привлечением работодателей. Организует </w:t>
      </w:r>
      <w:r w:rsidRPr="00AD7A18">
        <w:rPr>
          <w:rFonts w:eastAsia="Calibri"/>
          <w:color w:val="000000"/>
          <w:kern w:val="24"/>
          <w:sz w:val="22"/>
          <w:szCs w:val="22"/>
        </w:rPr>
        <w:t>прохождение обучения «Стартуй уверено «Экстра»</w:t>
      </w:r>
      <w:r w:rsidRPr="00AD7A18">
        <w:rPr>
          <w:color w:val="24292F"/>
          <w:kern w:val="24"/>
          <w:sz w:val="22"/>
          <w:szCs w:val="22"/>
        </w:rPr>
        <w:t xml:space="preserve"> в рамках сотрудничества с Межмуниципальным фондом поддержки предпринимательства город Красноуфимск, где студенты могут двигаться самостоятельно. Менеджер образовательного процесса: Он организует работу в малых группах, выстраивает систему взаимного обучения и проверки.</w:t>
      </w:r>
      <w:r>
        <w:rPr>
          <w:color w:val="24292F"/>
          <w:kern w:val="24"/>
          <w:sz w:val="22"/>
          <w:szCs w:val="22"/>
        </w:rPr>
        <w:t xml:space="preserve"> </w:t>
      </w:r>
      <w:r w:rsidRPr="00AD7A18">
        <w:rPr>
          <w:color w:val="24292F"/>
          <w:kern w:val="24"/>
          <w:sz w:val="22"/>
          <w:szCs w:val="22"/>
        </w:rPr>
        <w:t>Консультанта: Он вмешивается в ключевые моменты, помогает решать профессиональные проблемы, в стандартных и нестандартных ситуациях, которые группа не смогла решить самостоятельно</w:t>
      </w:r>
      <w:r w:rsidRPr="00AD7A18">
        <w:rPr>
          <w:color w:val="24292F"/>
          <w:kern w:val="24"/>
        </w:rPr>
        <w:t xml:space="preserve">. </w:t>
      </w:r>
      <w:r w:rsidRPr="00AD7A18">
        <w:rPr>
          <w:color w:val="000000"/>
          <w:kern w:val="24"/>
          <w:sz w:val="22"/>
          <w:szCs w:val="22"/>
        </w:rPr>
        <w:t>Преподаватель готовит 2-3 своих лучших студентов (будущих чемпионов) как внутренних экспертов через реализацию программы Наставничества.</w:t>
      </w:r>
      <w:r w:rsidRPr="00AD7A18">
        <w:rPr>
          <w:color w:val="000000"/>
          <w:kern w:val="24"/>
        </w:rPr>
        <w:t xml:space="preserve"> </w:t>
      </w:r>
      <w:r w:rsidRPr="00AD7A18">
        <w:rPr>
          <w:color w:val="000000"/>
          <w:kern w:val="24"/>
          <w:sz w:val="22"/>
          <w:szCs w:val="22"/>
        </w:rPr>
        <w:t>Успешная аттестация педагога</w:t>
      </w:r>
    </w:p>
    <w:p w14:paraId="32635AF7" w14:textId="6FBFE5DE" w:rsidR="003B02CE" w:rsidRPr="00AD7A18" w:rsidRDefault="00AD7A18" w:rsidP="00AD7A1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AD7A18">
        <w:rPr>
          <w:rFonts w:eastAsia="+mn-ea"/>
          <w:color w:val="000000"/>
          <w:kern w:val="24"/>
          <w:sz w:val="22"/>
          <w:szCs w:val="22"/>
        </w:rPr>
        <w:t xml:space="preserve">Для </w:t>
      </w:r>
      <w:r>
        <w:rPr>
          <w:rFonts w:eastAsia="+mn-ea"/>
          <w:color w:val="000000"/>
          <w:kern w:val="24"/>
          <w:sz w:val="22"/>
          <w:szCs w:val="22"/>
        </w:rPr>
        <w:t xml:space="preserve">колледжа: </w:t>
      </w:r>
      <w:r>
        <w:rPr>
          <w:sz w:val="22"/>
          <w:szCs w:val="22"/>
        </w:rPr>
        <w:t>п</w:t>
      </w:r>
      <w:r w:rsidRPr="00AD7A18">
        <w:rPr>
          <w:sz w:val="22"/>
          <w:szCs w:val="22"/>
        </w:rPr>
        <w:t>одготовка к чемпионатам требует оснащения мастерских по последнему слову техники, что улучшает образовательную среду для всех студентов.</w:t>
      </w:r>
      <w:r>
        <w:rPr>
          <w:sz w:val="22"/>
          <w:szCs w:val="22"/>
        </w:rPr>
        <w:t xml:space="preserve"> </w:t>
      </w:r>
      <w:r w:rsidRPr="00AD7A18">
        <w:rPr>
          <w:sz w:val="22"/>
          <w:szCs w:val="22"/>
        </w:rPr>
        <w:t xml:space="preserve"> Дополнительные баллы на получение бюджетных мест по специальности </w:t>
      </w:r>
      <w:r>
        <w:rPr>
          <w:sz w:val="22"/>
          <w:szCs w:val="22"/>
        </w:rPr>
        <w:t>при заявке на конкурс по контрольным цифрам приема.</w:t>
      </w:r>
      <w:r w:rsidR="00DE04F8">
        <w:rPr>
          <w:sz w:val="22"/>
          <w:szCs w:val="22"/>
        </w:rPr>
        <w:t xml:space="preserve"> </w:t>
      </w:r>
      <w:r w:rsidRPr="00AD7A18">
        <w:rPr>
          <w:sz w:val="22"/>
          <w:szCs w:val="22"/>
        </w:rPr>
        <w:t>Повышение статуса и рейтинга</w:t>
      </w:r>
      <w:r w:rsidR="00DE04F8">
        <w:rPr>
          <w:sz w:val="22"/>
          <w:szCs w:val="22"/>
        </w:rPr>
        <w:t>-</w:t>
      </w:r>
      <w:r w:rsidRPr="00AD7A18">
        <w:rPr>
          <w:sz w:val="22"/>
          <w:szCs w:val="22"/>
        </w:rPr>
        <w:t xml:space="preserve"> </w:t>
      </w:r>
      <w:r w:rsidRPr="00AD7A18">
        <w:rPr>
          <w:color w:val="24292F"/>
        </w:rPr>
        <w:t>быть</w:t>
      </w:r>
      <w:r w:rsidRPr="00AD7A18">
        <w:rPr>
          <w:sz w:val="22"/>
          <w:szCs w:val="22"/>
        </w:rPr>
        <w:t xml:space="preserve"> колледжем, где готовят чемпионов, очень престижно и привлекает мотивированных абитуриентов</w:t>
      </w:r>
      <w:r w:rsidR="00DE04F8">
        <w:rPr>
          <w:sz w:val="22"/>
          <w:szCs w:val="22"/>
        </w:rPr>
        <w:t>.</w:t>
      </w:r>
    </w:p>
    <w:p w14:paraId="7A2C3CCC" w14:textId="77777777" w:rsidR="003B02CE" w:rsidRDefault="003B02CE" w:rsidP="004021B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01B230B" w14:textId="77777777" w:rsidR="00ED1076" w:rsidRDefault="00ED1076" w:rsidP="004021B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7D12744" w14:textId="5C1C48AB" w:rsidR="008B74D1" w:rsidRDefault="00FC7D37" w:rsidP="00ED1076">
      <w:pPr>
        <w:jc w:val="center"/>
        <w:rPr>
          <w:rFonts w:ascii="Times New Roman" w:hAnsi="Times New Roman" w:cs="Times New Roman"/>
        </w:rPr>
      </w:pPr>
      <w:r w:rsidRPr="008B74D1">
        <w:rPr>
          <w:rFonts w:ascii="Times New Roman" w:hAnsi="Times New Roman" w:cs="Times New Roman"/>
        </w:rPr>
        <w:t>Источники информации:</w:t>
      </w:r>
    </w:p>
    <w:p w14:paraId="0B85CABA" w14:textId="16BEF636" w:rsidR="008B74D1" w:rsidRPr="008B74D1" w:rsidRDefault="00ED1076" w:rsidP="00ED1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B74D1" w:rsidRPr="008B74D1">
        <w:rPr>
          <w:rFonts w:ascii="Times New Roman" w:hAnsi="Times New Roman" w:cs="Times New Roman"/>
        </w:rPr>
        <w:t xml:space="preserve">Федеральный закон от 29 декабря 2012 г. № 273-ФЗ «Об образовании в Российской Федерации» </w:t>
      </w:r>
    </w:p>
    <w:p w14:paraId="74896489" w14:textId="147517FA" w:rsidR="00FC7D37" w:rsidRPr="008B74D1" w:rsidRDefault="00ED1076" w:rsidP="00ED1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C7D37" w:rsidRPr="008B74D1">
        <w:rPr>
          <w:rFonts w:ascii="Times New Roman" w:hAnsi="Times New Roman" w:cs="Times New Roman"/>
        </w:rPr>
        <w:t>Голубкин, В.Н., Смирнова, Н.В. Современные подходы к оценке профессиональной компетентности студентов технических вузов // Вестник Московского городского педагогического университета. Серия: Педагогика и психология. – 2021. – № 1. – С. 35–42.</w:t>
      </w:r>
    </w:p>
    <w:p w14:paraId="77AE18C6" w14:textId="2308E30D" w:rsidR="00FC7D37" w:rsidRPr="008B74D1" w:rsidRDefault="00ED1076" w:rsidP="00ED1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7D37" w:rsidRPr="008B74D1">
        <w:rPr>
          <w:rFonts w:ascii="Times New Roman" w:hAnsi="Times New Roman" w:cs="Times New Roman"/>
        </w:rPr>
        <w:t xml:space="preserve">Миронова, Т.А. Анализ опыта участия учреждений среднего профессионального образования в движении </w:t>
      </w:r>
      <w:proofErr w:type="spellStart"/>
      <w:r w:rsidR="00FC7D37" w:rsidRPr="008B74D1">
        <w:rPr>
          <w:rFonts w:ascii="Times New Roman" w:hAnsi="Times New Roman" w:cs="Times New Roman"/>
        </w:rPr>
        <w:t>WorldSkills</w:t>
      </w:r>
      <w:proofErr w:type="spellEnd"/>
      <w:r w:rsidR="00FC7D37" w:rsidRPr="008B74D1">
        <w:rPr>
          <w:rFonts w:ascii="Times New Roman" w:hAnsi="Times New Roman" w:cs="Times New Roman"/>
        </w:rPr>
        <w:t xml:space="preserve"> // Среднее профессиональное образование. – 2020. – № 11. – С. 15–19.</w:t>
      </w:r>
    </w:p>
    <w:p w14:paraId="39CDAF60" w14:textId="0BE08AD0" w:rsidR="007B5BDE" w:rsidRPr="007B5BDE" w:rsidRDefault="00ED1076" w:rsidP="00ED1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0265C">
        <w:rPr>
          <w:rFonts w:ascii="Times New Roman" w:hAnsi="Times New Roman" w:cs="Times New Roman"/>
        </w:rPr>
        <w:t>Всероссийское чемпионатное движение</w:t>
      </w:r>
      <w:r w:rsidR="00FC7D37" w:rsidRPr="008B74D1">
        <w:rPr>
          <w:rFonts w:ascii="Times New Roman" w:hAnsi="Times New Roman" w:cs="Times New Roman"/>
        </w:rPr>
        <w:t xml:space="preserve"> // pro.firpo.ru</w:t>
      </w:r>
    </w:p>
    <w:sectPr w:rsidR="007B5BDE" w:rsidRPr="007B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C9A"/>
    <w:multiLevelType w:val="hybridMultilevel"/>
    <w:tmpl w:val="3CD8B70A"/>
    <w:lvl w:ilvl="0" w:tplc="96525E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B806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28A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4C5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6836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449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CC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E3B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851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76F02"/>
    <w:multiLevelType w:val="multilevel"/>
    <w:tmpl w:val="D73C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762433">
    <w:abstractNumId w:val="0"/>
  </w:num>
  <w:num w:numId="2" w16cid:durableId="135557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1"/>
    <w:rsid w:val="000E4C68"/>
    <w:rsid w:val="0017186E"/>
    <w:rsid w:val="001F73C7"/>
    <w:rsid w:val="003B02CE"/>
    <w:rsid w:val="004021B9"/>
    <w:rsid w:val="00416753"/>
    <w:rsid w:val="004C6EE7"/>
    <w:rsid w:val="004E10A9"/>
    <w:rsid w:val="0055080E"/>
    <w:rsid w:val="0060265C"/>
    <w:rsid w:val="006627E1"/>
    <w:rsid w:val="007B5BDE"/>
    <w:rsid w:val="00857039"/>
    <w:rsid w:val="008B74D1"/>
    <w:rsid w:val="009A0131"/>
    <w:rsid w:val="00AD7A18"/>
    <w:rsid w:val="00AF03AA"/>
    <w:rsid w:val="00DE04F8"/>
    <w:rsid w:val="00ED1076"/>
    <w:rsid w:val="00F106BC"/>
    <w:rsid w:val="00F14989"/>
    <w:rsid w:val="00F92E8B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D01F"/>
  <w15:chartTrackingRefBased/>
  <w15:docId w15:val="{E4A77B8D-F164-4282-B6A4-F1959C8B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13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F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c-httwuo">
    <w:name w:val="sc-httwuo"/>
    <w:basedOn w:val="a"/>
    <w:rsid w:val="00FC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itonen">
    <w:name w:val="sc-itonen"/>
    <w:basedOn w:val="a0"/>
    <w:rsid w:val="00FC7D37"/>
  </w:style>
  <w:style w:type="paragraph" w:customStyle="1" w:styleId="sc-lboyjj">
    <w:name w:val="sc-lboyjj"/>
    <w:basedOn w:val="a"/>
    <w:rsid w:val="00FC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Metodkab-203</dc:creator>
  <cp:keywords/>
  <dc:description/>
  <cp:lastModifiedBy>Metodkab-203</cp:lastModifiedBy>
  <cp:revision>10</cp:revision>
  <dcterms:created xsi:type="dcterms:W3CDTF">2025-12-10T07:43:00Z</dcterms:created>
  <dcterms:modified xsi:type="dcterms:W3CDTF">2025-12-15T12:42:00Z</dcterms:modified>
</cp:coreProperties>
</file>