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media/image1.png" ContentType="image/png"/>
  <Override PartName="/word/media/image2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0"/>
        <w:spacing w:lineRule="auto" w:line="360" w:before="0" w:after="0"/>
        <w:ind w:left="0" w:hanging="0"/>
        <w:contextualSpacing w:val="false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6378575" cy="321881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spacing w:lineRule="auto" w:line="360" w:before="0" w:after="0"/>
        <w:ind w:left="0" w:firstLine="709"/>
        <w:contextualSpacing w:val="false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1. Общие положения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1.1. Настоящее Положение регламентирует порядок организации и проведения </w:t>
      </w:r>
      <w:r>
        <w:rPr>
          <w:rFonts w:cs="Times New Roman" w:ascii="Times New Roman" w:hAnsi="Times New Roman"/>
          <w:sz w:val="24"/>
          <w:szCs w:val="24"/>
          <w:lang w:val="en-US" w:eastAsia="ru-RU"/>
        </w:rPr>
        <w:t>XV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Всероссийской научно-практической конференции «СПО – новое качество: проблемы и практические решения».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1.2. Всероссийская научно-практическая конференция «СПО – новое качество: проблемы и практические решения» (далее Конференция), проводится в соответствии с «План-графиком на 2023-2024 учебный год международных, общероссийских, межрегиональных, областных, крупных городских мероприятий, организуемых учреждениями СПО на территории Свердловской области» Союза директоров средних специальных учреждений России и Совета директоров учреждений среднего профессионального образования Свердловской области. 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Конференция проводится на базе государственного автономного профессионального образовательного учреждения Свердловской области «Екатеринбургский автомобильно-дорожный колледж» (ГАПОУ СО «ЕАДК»). 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1.3. Целью Конференции является создание условий для обмена опытом представителей системы среднего профессионального образования, обобщение и трансляция положительного опыта профессиональных образовательных организаций.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1.4. Задачи Конференции: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создание условий для профессионального общения педагогических работников;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обмен передовым педагогическим опытом преподавателей и мастеров производственного обучения в области профессионального образования и воспитания;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обобщение и трансляция опыта педагогических работников профессиональных образовательных организаций.</w:t>
      </w:r>
      <w:r>
        <w:br w:type="page"/>
      </w:r>
    </w:p>
    <w:p>
      <w:pPr>
        <w:pStyle w:val="Normal"/>
        <w:autoSpaceDE w:val="false"/>
        <w:spacing w:lineRule="auto" w:line="360" w:before="120" w:after="12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Порядок и сроки проведения конференции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2.1. Конференция проводится на базе ГАПОУ СО «ЕАДК», 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по адресу: г. Екатеринбург, пр. Ленина, 91.</w:t>
      </w:r>
    </w:p>
    <w:p>
      <w:pPr>
        <w:pStyle w:val="Normal"/>
        <w:tabs>
          <w:tab w:val="clear" w:pos="708"/>
          <w:tab w:val="left" w:pos="1134" w:leader="none"/>
        </w:tabs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2.2. К участию в Конференции приглашаются работники профессиональных образовательных учреждений: руководители, заместители руководителей, заведующие отделениями, методисты, преподаватели и другие педагогические работники.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2.3. Форма участия в Конференции: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Участие в конференции заочное. Принимаются доклады/статьи педагогов для обсуждения и публикации в электронном сборнике материалов Конференции.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2.4. Для участия в конференции необходимо до 31.01.2024</w:t>
      </w:r>
      <w:r>
        <w:rPr>
          <w:rFonts w:cs="Times New Roman"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направить на электронный адрес </w:t>
      </w:r>
      <w:hyperlink r:id="rId3">
        <w:r>
          <w:rPr>
            <w:rStyle w:val="InternetLink"/>
            <w:rFonts w:cs="Times New Roman" w:ascii="Times New Roman" w:hAnsi="Times New Roman"/>
            <w:color w:val="0070C0"/>
            <w:sz w:val="24"/>
            <w:szCs w:val="24"/>
            <w:lang w:eastAsia="ru-RU"/>
          </w:rPr>
          <w:t>metodkabinet-eadk@mail.ru</w:t>
        </w:r>
      </w:hyperlink>
      <w:r>
        <w:rPr>
          <w:rFonts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заявку в соответствии с Приложением 1;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статью в соответствии с Приложением 2;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Письмо должно содержать пометку «НПК». В одной статье не может быть более одного соавтора. Заявка и статья (соавтор указывается в одной заявке) высылаются двумя файлами. Название файлов: Иванов_заявка.doc, Иванов_статья.doc. 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2.5. Сроки проведения Конференции: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- сбор материала для сборника до 31.01.2024;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рассылка результатов участия в конференции будет производиться по факту обработки материалов, формированию сборника и сертификатов участников (до окончания учебного года).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сборник материалов конференции размещается на сайте Колледжа в разделе Методический отдел/Мероприятия методического отдела по ссылке https://www.eadk.ru/.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2.6. Заявка на участие означает предоставление организаторам права обработки персональных данных в рамках проведения Конференции и размещения сборника материалов на сайте Колледжа в соответствии с Федеральным законом от 27 июля 2006 года № 152-ФЗ «О персональных данных» (с изменениями).</w:t>
      </w:r>
    </w:p>
    <w:p>
      <w:pPr>
        <w:pStyle w:val="Normal"/>
        <w:spacing w:lineRule="auto" w:line="360" w:before="120" w:after="120"/>
        <w:ind w:firstLine="567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Направления работы Конференции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ind w:left="357" w:hanging="357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Новая модель среднего профессионального образования Федерального проекта «Профессионалитет» по подготовке кадров, в которых нуждаются производственные предприятия: возникающие проблемы и пути их решения.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357" w:hanging="357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Инновационные тенденции в профессиональном образовании: приемы построения занятий общеобразовательного цикла с учётом профессиональной направленности, возникающие вопросы и пути их решения.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Реализация программы воспитания в СПО: опыт и пути решения конфликтных ситуаций с обучаемыми и их родителями/законными представителями, применяемые воспитательные методики, формирование гражданской позиции обучающихся, ответственное отношение к профессиональной и добровольческой (волонтерской) деятельности, формирование у обучающихся культуры здорового и безопасного образа жизни.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Психологическое сопровождение процессов адаптации по реализации доступной среды для студентов с ОВЗ и инвалидностью, первокурсников, иностранных граждан в учреждениях среднего профессионального образования.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  <w:lang w:eastAsia="ru-RU"/>
        </w:rPr>
      </w:pPr>
      <w:r>
        <w:rPr>
          <w:rFonts w:cs="Times New Roman" w:ascii="Times New Roman" w:hAnsi="Times New Roman"/>
          <w:bCs/>
          <w:sz w:val="24"/>
          <w:szCs w:val="24"/>
        </w:rPr>
        <w:t xml:space="preserve">Целевая модель наставничества: «педагог-педагог» - трансляция опыта и рекомендации по профессионально-личностному становлению, развитию, карьерному росту молодого специалиста системы образования; «педагог-студент» и «наставник-студент» - опыт повышения учебно-познавательной мотивации по формированию осознанного выбора будущей личностной, образовательной и профессиональной траекторий развития. 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П</w:t>
      </w:r>
      <w:r>
        <w:rPr>
          <w:rFonts w:cs="Times New Roman" w:ascii="Times New Roman" w:hAnsi="Times New Roman"/>
          <w:bCs/>
          <w:sz w:val="24"/>
          <w:szCs w:val="24"/>
        </w:rPr>
        <w:t>рактический опыт проведения фестивалей профессий и профориентационных мероприятий, профессионального самоопределения будущих абитуриентов.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Cs/>
          <w:sz w:val="24"/>
          <w:szCs w:val="24"/>
        </w:rPr>
        <w:t>Профессиональная идентичность обучающихся, инновационные технологии учебной и производственной практики, опыт по трудоустройству выпускников.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bCs/>
          <w:sz w:val="24"/>
          <w:szCs w:val="24"/>
        </w:rPr>
        <w:t>Формирование цифровой образовательной среды (электронные платформы, персональные сайты, электронные образовательные ресурсы), опыт применения.</w:t>
      </w:r>
    </w:p>
    <w:p>
      <w:pPr>
        <w:pStyle w:val="Normal"/>
        <w:numPr>
          <w:ilvl w:val="0"/>
          <w:numId w:val="2"/>
        </w:numPr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Методическое сопровождение реализации образовательных программ: анализ применения в образовательном процессе оценочных средств, методических указаний и рекомендаций, учебных пособий, рабочих тетрадей и др.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Опыт образовательной организации по реализации проектной и исследовательской деятельности педагогов и обучающихся.</w:t>
      </w:r>
    </w:p>
    <w:p>
      <w:pPr>
        <w:pStyle w:val="Normal"/>
        <w:spacing w:lineRule="auto" w:line="360" w:before="120" w:after="12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  <w:t>4. Требования к представляемым на Конференцию работам.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4.1. На Конференцию представляются материалы, являющиеся результатом самостоятельной, индивидуальной или коллективной деятельности. Работа должна быть выполнена на актуальную тему, иметь четко поставленную цель и практическую значимость. Статьи (тезисы) поступившие для публикации в сборнике материалов Конференции, должны соответствовать следующим параметрам: соответствие содержания текста заявленной тематике, логика изложения, оформление текста статьи (тезисов) в соответствии с правилами оформления (Приложение 1).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4.2. Статья, должна иметь следующую структуру: введение, основная часть, заключение и источники информации. </w:t>
      </w:r>
      <w:r>
        <w:rPr>
          <w:rFonts w:cs="Times New Roman" w:ascii="Times New Roman" w:hAnsi="Times New Roman"/>
          <w:iCs/>
          <w:sz w:val="24"/>
          <w:szCs w:val="24"/>
          <w:lang w:eastAsia="ru-RU"/>
        </w:rPr>
        <w:t>Введение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должно включать в себя формулировку проблемы, отражать актуальность темы, определение целей, поставленных перед автором работы, характеристику его личного вклада в решение избранной проблемы. </w:t>
      </w:r>
      <w:r>
        <w:rPr>
          <w:rFonts w:cs="Times New Roman" w:ascii="Times New Roman" w:hAnsi="Times New Roman"/>
          <w:iCs/>
          <w:sz w:val="24"/>
          <w:szCs w:val="24"/>
          <w:lang w:eastAsia="ru-RU"/>
        </w:rPr>
        <w:t>Основная часть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должна содержать информацию, собранную и обработанную автором. </w:t>
      </w:r>
      <w:r>
        <w:rPr>
          <w:rFonts w:cs="Times New Roman" w:ascii="Times New Roman" w:hAnsi="Times New Roman"/>
          <w:iCs/>
          <w:sz w:val="24"/>
          <w:szCs w:val="24"/>
          <w:lang w:eastAsia="ru-RU"/>
        </w:rPr>
        <w:t>В заключении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 формулируются выводы и результаты.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4.3. Объем работы не должен превышать 5 (пяти) страниц.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4.4. Статьи (тезисы проектов) публикуются в авторской редакции, оформление текста по требованиям указанным в Приложении 1 к настоящему Положению. Авторы несут ответственность за содержание материалов и достоверность представленных в них сведений, а так же за соблюдение авторских прав. Ссылки на авторов, материалы которых использованы в статье, обязательны. 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Организационный комитет Конференции оставляет за собой право отклонять работы в случае: возникновения сомнений в авторстве участника (до выяснения ситуации), поступившие после установленного срока; противоречащие законодательству Российской Федерации; несоответствующие тематике Конференции; выполненные с несоблюдением правил оформления.</w:t>
      </w:r>
    </w:p>
    <w:p>
      <w:pPr>
        <w:pStyle w:val="Normal"/>
        <w:autoSpaceDE w:val="false"/>
        <w:spacing w:lineRule="auto" w:line="360" w:before="120" w:after="12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  <w:t>5. Организационный комитет Конференции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5.1. За проведение научно-практической конференции отвечает организационный комитет, создаваемый на базе колледжа на время организации и проведения Конференции.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В состав организационного комитета входят: 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Председатель – Гутрина Алена Владимировна – заместитель директора по учебно-методической работе;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Члены организационного комитета: 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- Пьянкова Вера Витальевна, старший методист; 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Неверова Ирина Юрьевна, методист;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Ахметова Камила Жанайдаровна, методист.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5.2. Деятельность оргкомитета Конференции: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определяет направления работы Конференции;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определяет порядок, форму, дату проведения Конференции;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организует информационную поддержку Конференции;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осуществляет приём заявок и материалов для участия в Конференции;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eastAsia="ru-RU"/>
        </w:rPr>
        <w:t>осуществляет форматирование материалов Конференции к изданию сборника;</w:t>
      </w:r>
    </w:p>
    <w:p>
      <w:pPr>
        <w:pStyle w:val="Normal"/>
        <w:autoSpaceDE w:val="false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eastAsia="ru-RU"/>
        </w:rPr>
        <w:t>- осуществляет формирование электронного сборника материалов Конференции и размещение его на сайте колледжа;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осуществляет рассылку сборника материалов Конференции;</w:t>
      </w:r>
    </w:p>
    <w:p>
      <w:pPr>
        <w:pStyle w:val="Normal"/>
        <w:autoSpaceDE w:val="false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- оформляет и рассылает сертификаты участникам конференции.</w:t>
      </w:r>
    </w:p>
    <w:p>
      <w:pPr>
        <w:pStyle w:val="Normal"/>
        <w:autoSpaceDE w:val="false"/>
        <w:spacing w:lineRule="auto" w:line="360" w:before="120" w:after="12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  <w:t>6. Финансирование конференции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6.1. Участие в конференции бесплатное. </w:t>
      </w:r>
    </w:p>
    <w:p>
      <w:pPr>
        <w:pStyle w:val="Normal"/>
        <w:autoSpaceDE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Расходы по формированию электронного сборника статей (тезисов), электронных сертификатов участников Конференции несет ГАПОУ СО «ЕАДК». </w:t>
      </w:r>
      <w:r>
        <w:br w:type="page"/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Приложение 1.</w:t>
      </w:r>
    </w:p>
    <w:p>
      <w:pPr>
        <w:pStyle w:val="Normal"/>
        <w:spacing w:lineRule="auto" w:line="360" w:before="0" w:after="0"/>
        <w:ind w:left="709" w:hanging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Заявка на участие</w:t>
      </w:r>
    </w:p>
    <w:p>
      <w:pPr>
        <w:pStyle w:val="Normal"/>
        <w:autoSpaceDE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в </w:t>
      </w:r>
      <w:r>
        <w:rPr>
          <w:rFonts w:cs="Times New Roman" w:ascii="Times New Roman" w:hAnsi="Times New Roman"/>
          <w:sz w:val="28"/>
          <w:szCs w:val="28"/>
          <w:lang w:val="en-US"/>
        </w:rPr>
        <w:t>XV</w:t>
      </w:r>
      <w:r>
        <w:rPr>
          <w:rFonts w:cs="Times New Roman" w:ascii="Times New Roman" w:hAnsi="Times New Roman"/>
          <w:sz w:val="28"/>
          <w:szCs w:val="28"/>
        </w:rPr>
        <w:t xml:space="preserve"> Всероссийской научно-практической конференции </w:t>
        <w:br/>
        <w:t>«СПО – новое качество: проблемы и практические решения»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5000" w:type="pct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5381"/>
      </w:tblGrid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Наименование профессиональной образовательной организации (указывается по Уставу организации)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1.Фамилия, имя, отчество педагогического работника (полностью)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Контактные данные E-mail; телефон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2.Фамилия, имя, отчество педагогического работника (полностью)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Контактные данные E-mail; телефон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Номер номинации из пункта 3 данного положения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Тема статьи</w:t>
            </w:r>
          </w:p>
          <w:p>
            <w:pPr>
              <w:pStyle w:val="Normal"/>
              <w:autoSpaceDE w:val="false"/>
              <w:spacing w:lineRule="auto" w:line="240" w:before="40" w:after="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 xml:space="preserve">Заявки с работами высылаются на </w:t>
      </w:r>
      <w:r>
        <w:rPr>
          <w:rFonts w:cs="Times New Roman" w:ascii="Times New Roman" w:hAnsi="Times New Roman"/>
          <w:sz w:val="24"/>
          <w:szCs w:val="24"/>
          <w:lang w:val="en-US"/>
        </w:rPr>
        <w:t>e</w:t>
      </w:r>
      <w:r>
        <w:rPr>
          <w:rFonts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  <w:hyperlink r:id="rId4">
        <w:r>
          <w:rPr>
            <w:rStyle w:val="InternetLink"/>
            <w:rFonts w:cs="Times New Roman" w:ascii="Times New Roman" w:hAnsi="Times New Roman"/>
            <w:color w:val="0000FF"/>
            <w:sz w:val="24"/>
            <w:szCs w:val="24"/>
            <w:u w:val="single"/>
            <w:shd w:fill="FFFFFF" w:val="clear"/>
          </w:rPr>
          <w:t>metodkabinet-eadk@mail.ru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до 27.02.2023, двумя файлами в программе </w:t>
      </w:r>
      <w:r>
        <w:rPr>
          <w:rFonts w:cs="Times New Roman" w:ascii="Times New Roman" w:hAnsi="Times New Roman"/>
          <w:sz w:val="24"/>
          <w:szCs w:val="24"/>
          <w:lang w:val="en-US"/>
        </w:rPr>
        <w:t>MS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Word</w:t>
      </w:r>
      <w:r>
        <w:rPr>
          <w:rFonts w:cs="Times New Roman" w:ascii="Times New Roman" w:hAnsi="Times New Roman"/>
          <w:sz w:val="24"/>
          <w:szCs w:val="24"/>
        </w:rPr>
        <w:t xml:space="preserve"> в форматах .</w:t>
      </w:r>
      <w:r>
        <w:rPr>
          <w:rFonts w:cs="Times New Roman" w:ascii="Times New Roman" w:hAnsi="Times New Roman"/>
          <w:sz w:val="24"/>
          <w:szCs w:val="24"/>
          <w:lang w:val="en-US"/>
        </w:rPr>
        <w:t>doc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sz w:val="24"/>
          <w:szCs w:val="24"/>
          <w:lang w:val="en-US"/>
        </w:rPr>
        <w:t>x</w:t>
      </w:r>
      <w:r>
        <w:rPr>
          <w:rFonts w:cs="Times New Roman" w:ascii="Times New Roman" w:hAnsi="Times New Roman"/>
          <w:sz w:val="24"/>
          <w:szCs w:val="24"/>
        </w:rPr>
        <w:t>), например: Иванов СА_заявка.</w:t>
      </w:r>
      <w:r>
        <w:rPr>
          <w:rFonts w:cs="Times New Roman" w:ascii="Times New Roman" w:hAnsi="Times New Roman"/>
          <w:sz w:val="24"/>
          <w:szCs w:val="24"/>
          <w:lang w:val="en-US"/>
        </w:rPr>
        <w:t>doc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sz w:val="24"/>
          <w:szCs w:val="24"/>
          <w:lang w:val="en-US"/>
        </w:rPr>
        <w:t>x</w:t>
      </w:r>
      <w:r>
        <w:rPr>
          <w:rFonts w:cs="Times New Roman" w:ascii="Times New Roman" w:hAnsi="Times New Roman"/>
          <w:sz w:val="24"/>
          <w:szCs w:val="24"/>
        </w:rPr>
        <w:t>), Иванов СА_статья.</w:t>
      </w:r>
      <w:r>
        <w:rPr>
          <w:rFonts w:cs="Times New Roman" w:ascii="Times New Roman" w:hAnsi="Times New Roman"/>
          <w:sz w:val="24"/>
          <w:szCs w:val="24"/>
          <w:lang w:val="en-US"/>
        </w:rPr>
        <w:t>doc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sz w:val="24"/>
          <w:szCs w:val="24"/>
          <w:lang w:val="en-US"/>
        </w:rPr>
        <w:t>x</w:t>
      </w:r>
      <w:r>
        <w:rPr>
          <w:rFonts w:cs="Times New Roman" w:ascii="Times New Roman" w:hAnsi="Times New Roman"/>
          <w:sz w:val="24"/>
          <w:szCs w:val="24"/>
        </w:rPr>
        <w:t xml:space="preserve">).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>В одной статье не может быть более одного соавтора!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cs="Times New Roman" w:ascii="Times New Roman" w:hAnsi="Times New Roman"/>
          <w:sz w:val="26"/>
          <w:szCs w:val="26"/>
          <w:lang w:eastAsia="ru-RU"/>
        </w:rPr>
        <w:t>Приложение 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Требования к оформлению статьи (тезисов) </w:t>
        <w:br/>
        <w:t xml:space="preserve">электронного сборника материалов конференции </w:t>
        <w:br/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Поля документа - слева, справа, сверху, снизу - 2.0 см.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Шрифт - Times New Roman;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Междустрочный интервал текста – полуторный, межстрочный интервал заголовка и источников информации одинарный.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Красная строка (отступ абзаца текста) – 1,25 см;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Выравнивание заголовка – по центру, основного текста - по ширине.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Таблицы и иллюстрации в основной текст добавляются в текстовом редакторе Word. 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Иллюстрации размещаются по тексту в формате «Обтекание текстом / В тексте» с подписью номера и названия рисунка, размер шрифта 12 пт, начертание шрифта курсив, выравнивание по центру, между рисунком и текстом одинарный межстрочный интервал.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Таблицы подписываются сверху (над таблицей), выравнивание справа, начертание курсив, между текстом и таблицей одинарный межстрочный интервал; размещение таблицы «По ширине окна». Текст в таблице с межстрочным интервалом - одинарный, начертание шрифта – обычный, выравнивание по левому краю или по центру. Исключить переносы в словах.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Страницы не нумеруются.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Формирование структуры текста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первый абзац</w:t>
      </w:r>
      <w:r>
        <w:rPr>
          <w:rFonts w:cs="Times New Roman" w:ascii="Times New Roman" w:hAnsi="Times New Roman"/>
          <w:sz w:val="24"/>
          <w:szCs w:val="24"/>
        </w:rPr>
        <w:t xml:space="preserve"> – название статьи (тезисов) выполняется строчными буквами, шрифт жирный, размер шрифта 14 пт, выравнивание по центру, межстрочный интервал одинарный;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второй абзац</w:t>
      </w:r>
      <w:r>
        <w:rPr>
          <w:rFonts w:cs="Times New Roman" w:ascii="Times New Roman" w:hAnsi="Times New Roman"/>
          <w:sz w:val="24"/>
          <w:szCs w:val="24"/>
        </w:rPr>
        <w:t xml:space="preserve"> – фамилия, имя, отчество автора (полностью), должность, наименование образовательного учреждения выполняются строчными буквами, шрифт курсив обычный, размер шрифта 14 пт, выравнивание по центру, межстрочный интервал одинарный;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третий абзац</w:t>
      </w:r>
      <w:r>
        <w:rPr>
          <w:rFonts w:cs="Times New Roman" w:ascii="Times New Roman" w:hAnsi="Times New Roman"/>
          <w:sz w:val="24"/>
          <w:szCs w:val="24"/>
        </w:rPr>
        <w:t xml:space="preserve"> – пустая строка, межстрочный интервал полуторный;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с четвертого абзаца</w:t>
      </w:r>
      <w:r>
        <w:rPr>
          <w:rFonts w:cs="Times New Roman" w:ascii="Times New Roman" w:hAnsi="Times New Roman"/>
          <w:sz w:val="24"/>
          <w:szCs w:val="24"/>
        </w:rPr>
        <w:t xml:space="preserve"> – основной текст, выполняется строчными буквами, обычным шрифтом, размер шрифта 14 пт, выравнивание по ширине, межстрочный интервал полуторный, красная строка 1,25 см, выделения в тексте - выполняются курсивом или подчеркиванием (не жирным шрифтом),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предпоследний абзац</w:t>
      </w:r>
      <w:r>
        <w:rPr>
          <w:rFonts w:cs="Times New Roman" w:ascii="Times New Roman" w:hAnsi="Times New Roman"/>
          <w:sz w:val="24"/>
          <w:szCs w:val="24"/>
        </w:rPr>
        <w:t xml:space="preserve"> - пустая строка, межстрочный интервал полуторный;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последний абзац текста</w:t>
      </w:r>
      <w:r>
        <w:rPr>
          <w:rFonts w:cs="Times New Roman" w:ascii="Times New Roman" w:hAnsi="Times New Roman"/>
          <w:sz w:val="24"/>
          <w:szCs w:val="24"/>
        </w:rPr>
        <w:t xml:space="preserve"> - используемые источники, размер шрифта 14 пт, выравнивание по левому краю, межстрочный интервал полуторный, заголовок выделяется жирным шрифтом.</w:t>
      </w:r>
      <w:r>
        <w:br w:type="page"/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cs="Times New Roman" w:ascii="Times New Roman" w:hAnsi="Times New Roman"/>
          <w:sz w:val="26"/>
          <w:szCs w:val="26"/>
          <w:lang w:eastAsia="ru-RU"/>
        </w:rPr>
        <w:t>Образец оформления статьи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/>
      </w:pPr>
      <w:r>
        <w:rPr>
          <w:rStyle w:val="1"/>
          <w:rFonts w:eastAsia="Calibri" w:cs="Times New Roman" w:ascii="Times New Roman" w:hAnsi="Times New Roman"/>
          <w:color w:val="000000"/>
        </w:rPr>
        <w:t xml:space="preserve">Подготовка квалифицированных специалистов </w:t>
        <w:br/>
        <w:t>профессионального образования</w:t>
        <w:br/>
      </w:r>
      <w:r>
        <w:rPr>
          <w:rStyle w:val="1"/>
          <w:rFonts w:eastAsia="Calibri" w:cs="Times New Roman" w:ascii="Times New Roman" w:hAnsi="Times New Roman"/>
          <w:b w:val="false"/>
          <w:i/>
          <w:color w:val="000000"/>
        </w:rPr>
        <w:t>Назмутдинова Альбина Ильдусовна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i/>
          <w:sz w:val="28"/>
          <w:szCs w:val="28"/>
        </w:rPr>
        <w:t>преподаватель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Министерство образования и науки республики Татарстан, </w:t>
        <w:br/>
        <w:t>ГАПОУ «Альметьевский политехнический техникум»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12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Нет на свете мудрее профессии </w:t>
        <w:br/>
        <w:t>и нужней – для внедренья добра. </w:t>
        <w:br/>
        <w:t>Жизнь уроки дает, и в процессе их </w:t>
        <w:br/>
        <w:t>понимаем, что учим не зря!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8"/>
          <w:szCs w:val="28"/>
        </w:rPr>
        <w:t xml:space="preserve">Повышение качества процесса обучения, поиск эффективных моделей его организации занимает одно из центральных мест в развитии профессионального образования. Современный специалист должен быть человеком нового поколения, которому присуща духовная свобода, определяющая право выбора и постановки цели деятельности. Студент рассматривает свою будущую профессию не только как средство социального развития, но и как средство саморазвития личности.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inline distT="0" distB="0" distL="0" distR="0">
            <wp:extent cx="4321810" cy="2085975"/>
            <wp:effectExtent l="0" t="0" r="0" b="0"/>
            <wp:docPr id="2" name="Рисунок 215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153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16" r="-8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</w:rPr>
        <w:t>Рисунок 1. Схема мотивации студентов к проектной деятельности.</w:t>
      </w:r>
    </w:p>
    <w:p>
      <w:pPr>
        <w:pStyle w:val="Normal"/>
        <w:spacing w:lineRule="auto" w:line="360"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Стремясь получить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результат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(приз, знания, опыт), понимая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выгоды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и используя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мотивацию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(талант, творчество, лидерские качества), обучаемый сделает правильный выбор в создании проекта в области своих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интересов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jc w:val="right"/>
        <w:rPr/>
      </w:pPr>
      <w:r>
        <w:rPr/>
        <w:t>Таблица 1. Качественная успеваемость студентов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2"/>
        <w:gridCol w:w="1799"/>
        <w:gridCol w:w="1872"/>
        <w:gridCol w:w="1872"/>
      </w:tblGrid>
      <w:tr>
        <w:trPr>
          <w:trHeight w:val="408" w:hRule="atLeast"/>
        </w:trPr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2015-16 уч.г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2016-17 уч. г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2017-18 уч. г</w:t>
            </w:r>
          </w:p>
        </w:tc>
      </w:tr>
      <w:tr>
        <w:trPr>
          <w:trHeight w:val="489" w:hRule="atLeast"/>
        </w:trPr>
        <w:tc>
          <w:tcPr>
            <w:tcW w:w="4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38.02.04 Коммерция (по отраслям)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86%</w:t>
            </w:r>
          </w:p>
        </w:tc>
      </w:tr>
    </w:tbl>
    <w:p>
      <w:pPr>
        <w:pStyle w:val="Normal"/>
        <w:autoSpaceDE w:val="false"/>
        <w:spacing w:lineRule="auto" w:line="360" w:before="12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Таким образом, принцип профессиональной направленности обучения является методическим принципом, который учитывается и реализуется в учебно-воспитательном процессе и способствует развитию общих и профессиональных компетенций обучающихся.</w:t>
      </w:r>
    </w:p>
    <w:p>
      <w:pPr>
        <w:pStyle w:val="Normal"/>
        <w:shd w:fill="FFFFFF" w:val="clear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Основными формами исследовательской работы студентов являются: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подготовка рефератов, докладов;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участие студентов в проектной деятельности;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участие в семинарах, смотрах-конкурсах исследовательских работ;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  <w:t>участие в студенческих конференциях.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8"/>
          <w:szCs w:val="28"/>
          <w:lang w:eastAsia="ru-RU"/>
        </w:rPr>
        <w:t>Задачи проекта: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1) Организовать исследовательскую работу студентов по применению знаний курса математики в своей профессиональной отрасли.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2) Способствовать развитию интеллектуальной активности обучающихся.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3) Сформировать у обучающихся умения работы с информацией и представления результатов перед аудиторией.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4) Научить самостоятельно проводить анализ и делать выводы.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color w:val="333333"/>
          <w:sz w:val="28"/>
          <w:szCs w:val="28"/>
        </w:rPr>
        <w:t>Исследовательская деятельность обучающихся является не исследование ради исследования, а повышение уровня научной подготовки специалистов со средним профессиональным образованием, выявление наиболее талантливых обучающихся, склонных к научной деятельности, для последующего обучения и пополнения научно-педагогических кадров.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Используемые источники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357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Бухалков М.И. Планирование на предприятии. – М.: ИНФРА-М, 2013. – 416 с.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357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Шуберт Ю. Ф., Андреещева Н.Н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Формирование у студентов профессиональных компетенций // Среднее профессиональное образование. – М., 2016. – № 12.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360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Макарова Е.А., Макарова Е.Л., Особенности профессионально-ориентированного обучения в компетентностном образовательном пространстве: учебное пособие. - ИНФРА-М, 2020 г. - 128 с. - ISBN 978-5-16-012617-3. - Текст: электронный // znanium.com: электронно-библиотечная система. - URL: https://znanium.com/catalog/document?id=346831. - Режим доступа: для авториз. пользователей.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360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Союз «Молодые профессионалы» [Электронный ресурс]. – Режим доступа: </w:t>
      </w:r>
      <w:hyperlink r:id="rId6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http://worldskills.ru/</w:t>
        </w:r>
      </w:hyperlink>
      <w:r>
        <w:rPr>
          <w:rStyle w:val="InternetLink"/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</w:r>
    </w:p>
    <w:sectPr>
      <w:footerReference w:type="default" r:id="rId7"/>
      <w:footerReference w:type="first" r:id="rId8"/>
      <w:type w:val="nextPage"/>
      <w:pgSz w:w="11906" w:h="16838"/>
      <w:pgMar w:left="1134" w:right="567" w:gutter="0" w:header="0" w:top="567" w:footer="709" w:bottom="765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Calibri Light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i w:val="false"/>
        <w:szCs w:val="24"/>
        <w:color w:val="000000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16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sz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libri Light" w:hAnsi="Calibri Light" w:eastAsia="Times New Roman" w:cs="Calibri Light"/>
      <w:b/>
      <w:bCs/>
      <w:i/>
      <w:iCs/>
      <w:sz w:val="28"/>
      <w:szCs w:val="28"/>
      <w:lang w:val="en-US"/>
    </w:rPr>
  </w:style>
  <w:style w:type="paragraph" w:styleId="Heading7">
    <w:name w:val="Heading 7"/>
    <w:basedOn w:val="Normal"/>
    <w:next w:val="Normal"/>
    <w:qFormat/>
    <w:pPr>
      <w:keepNext w:val="true"/>
      <w:keepLines/>
      <w:numPr>
        <w:ilvl w:val="6"/>
        <w:numId w:val="1"/>
      </w:numPr>
      <w:spacing w:lineRule="auto" w:line="240" w:before="200" w:after="0"/>
      <w:outlineLvl w:val="6"/>
    </w:pPr>
    <w:rPr>
      <w:rFonts w:ascii="Cambria" w:hAnsi="Cambria" w:eastAsia="Times New Roman" w:cs="Cambria"/>
      <w:i/>
      <w:iCs/>
      <w:color w:val="404040"/>
      <w:sz w:val="20"/>
      <w:szCs w:val="20"/>
      <w:lang w:val="en-US"/>
    </w:rPr>
  </w:style>
  <w:style w:type="character" w:styleId="WW8Num1z0">
    <w:name w:val="WW8Num1z0"/>
    <w:qFormat/>
    <w:rPr>
      <w:rFonts w:ascii="Symbol" w:hAnsi="Symbol" w:cs="Symbol"/>
      <w:sz w:val="16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cs="Symbol"/>
      <w:sz w:val="16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i w:val="false"/>
      <w:color w:val="000000"/>
    </w:rPr>
  </w:style>
  <w:style w:type="character" w:styleId="WW8Num5z0">
    <w:name w:val="WW8Num5z0"/>
    <w:qFormat/>
    <w:rPr>
      <w:rFonts w:ascii="Symbol" w:hAnsi="Symbol" w:cs="Symbol"/>
      <w:sz w:val="16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/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i w:val="false"/>
      <w:color w:val="000000"/>
      <w:sz w:val="24"/>
      <w:szCs w:val="24"/>
    </w:rPr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8z1">
    <w:name w:val="WW8Num8z1"/>
    <w:qFormat/>
    <w:rPr>
      <w:rFonts w:ascii="Courier New" w:hAnsi="Courier New" w:cs="Courier New"/>
      <w:sz w:val="20"/>
    </w:rPr>
  </w:style>
  <w:style w:type="character" w:styleId="WW8Num8z2">
    <w:name w:val="WW8Num8z2"/>
    <w:qFormat/>
    <w:rPr>
      <w:rFonts w:ascii="Wingdings" w:hAnsi="Wingdings" w:cs="Wingdings"/>
      <w:sz w:val="20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1z0">
    <w:name w:val="WW8Num11z0"/>
    <w:qFormat/>
    <w:rPr>
      <w:rFonts w:ascii="Symbol" w:hAnsi="Symbol" w:cs="Symbol"/>
      <w:sz w:val="16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Symbol" w:hAnsi="Symbol" w:cs="Symbol"/>
      <w:sz w:val="16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sz w:val="28"/>
    </w:rPr>
  </w:style>
  <w:style w:type="character" w:styleId="WW8Num14z0">
    <w:name w:val="WW8Num14z0"/>
    <w:qFormat/>
    <w:rPr>
      <w:rFonts w:ascii="Symbol" w:hAnsi="Symbol" w:cs="Symbol"/>
      <w:sz w:val="16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>
      <w:rFonts w:ascii="Symbol" w:hAnsi="Symbol" w:cs="Symbol"/>
      <w:sz w:val="20"/>
    </w:rPr>
  </w:style>
  <w:style w:type="character" w:styleId="WW8Num15z1">
    <w:name w:val="WW8Num15z1"/>
    <w:qFormat/>
    <w:rPr>
      <w:rFonts w:ascii="Courier New" w:hAnsi="Courier New" w:cs="Courier New"/>
      <w:sz w:val="20"/>
    </w:rPr>
  </w:style>
  <w:style w:type="character" w:styleId="WW8Num15z2">
    <w:name w:val="WW8Num15z2"/>
    <w:qFormat/>
    <w:rPr>
      <w:rFonts w:ascii="Wingdings" w:hAnsi="Wingdings" w:cs="Wingdings"/>
      <w:sz w:val="20"/>
    </w:rPr>
  </w:style>
  <w:style w:type="character" w:styleId="WW8Num16z0">
    <w:name w:val="WW8Num16z0"/>
    <w:qFormat/>
    <w:rPr/>
  </w:style>
  <w:style w:type="character" w:styleId="WW8Num17z0">
    <w:name w:val="WW8Num17z0"/>
    <w:qFormat/>
    <w:rPr>
      <w:i w:val="false"/>
      <w:color w:val="000000"/>
    </w:rPr>
  </w:style>
  <w:style w:type="character" w:styleId="WW8Num18z0">
    <w:name w:val="WW8Num18z0"/>
    <w:qFormat/>
    <w:rPr/>
  </w:style>
  <w:style w:type="character" w:styleId="Style11">
    <w:name w:val="Основной шрифт абзаца"/>
    <w:qFormat/>
    <w:rPr/>
  </w:style>
  <w:style w:type="character" w:styleId="InternetLink">
    <w:name w:val="Hyperlink"/>
    <w:rPr>
      <w:color w:val="0000FF"/>
      <w:u w:val="single"/>
    </w:rPr>
  </w:style>
  <w:style w:type="character" w:styleId="Style12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7">
    <w:name w:val="Заголовок 7 Знак"/>
    <w:qFormat/>
    <w:rPr>
      <w:rFonts w:ascii="Cambria" w:hAnsi="Cambria" w:eastAsia="Times New Roman" w:cs="Times New Roman"/>
      <w:i/>
      <w:iCs/>
      <w:color w:val="404040"/>
      <w:sz w:val="20"/>
      <w:szCs w:val="20"/>
    </w:rPr>
  </w:style>
  <w:style w:type="character" w:styleId="3">
    <w:name w:val="Основной текст 3 Знак"/>
    <w:qFormat/>
    <w:rPr>
      <w:rFonts w:ascii="Times New Roman" w:hAnsi="Times New Roman" w:eastAsia="Times New Roman" w:cs="Times New Roman"/>
      <w:sz w:val="28"/>
      <w:szCs w:val="20"/>
    </w:rPr>
  </w:style>
  <w:style w:type="character" w:styleId="1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">
    <w:name w:val="Основной текст 2 Знак"/>
    <w:qFormat/>
    <w:rPr>
      <w:rFonts w:ascii="Calibri" w:hAnsi="Calibri" w:eastAsia="Calibri" w:cs="Times New Roman"/>
    </w:rPr>
  </w:style>
  <w:style w:type="character" w:styleId="Style13">
    <w:name w:val="Основной текст с отступом Знак"/>
    <w:qFormat/>
    <w:rPr>
      <w:rFonts w:ascii="Calibri" w:hAnsi="Calibri" w:eastAsia="Calibri" w:cs="Times New Roman"/>
    </w:rPr>
  </w:style>
  <w:style w:type="character" w:styleId="Style14">
    <w:name w:val="Название Знак"/>
    <w:qFormat/>
    <w:rPr>
      <w:rFonts w:ascii="Times New Roman" w:hAnsi="Times New Roman" w:eastAsia="Times New Roman" w:cs="Times New Roman"/>
      <w:b/>
      <w:sz w:val="28"/>
      <w:szCs w:val="20"/>
    </w:rPr>
  </w:style>
  <w:style w:type="character" w:styleId="StrongEmphasis">
    <w:name w:val="Strong"/>
    <w:qFormat/>
    <w:rPr>
      <w:b/>
      <w:bCs/>
    </w:rPr>
  </w:style>
  <w:style w:type="character" w:styleId="21">
    <w:name w:val="Заголовок 2 Знак"/>
    <w:qFormat/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character" w:styleId="Style15">
    <w:name w:val="Верхний колонтитул Знак"/>
    <w:qFormat/>
    <w:rPr>
      <w:sz w:val="22"/>
      <w:szCs w:val="22"/>
    </w:rPr>
  </w:style>
  <w:style w:type="character" w:styleId="Style16">
    <w:name w:val="Нижний колонтитул Знак"/>
    <w:qFormat/>
    <w:rPr>
      <w:sz w:val="22"/>
      <w:szCs w:val="22"/>
    </w:rPr>
  </w:style>
  <w:style w:type="character" w:styleId="Style17">
    <w:name w:val="Текст сноски Знак"/>
    <w:qFormat/>
    <w:rPr/>
  </w:style>
  <w:style w:type="character" w:styleId="FootnoteCharacters">
    <w:name w:val="Footnote Characters"/>
    <w:qFormat/>
    <w:rPr>
      <w:vertAlign w:val="superscript"/>
    </w:rPr>
  </w:style>
  <w:style w:type="paragraph" w:styleId="Heading">
    <w:name w:val="Heading"/>
    <w:basedOn w:val="Normal"/>
    <w:next w:val="TextBody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8"/>
      <w:szCs w:val="20"/>
      <w:lang w:val="en-US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Style18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en-US"/>
    </w:rPr>
  </w:style>
  <w:style w:type="paragraph" w:styleId="31">
    <w:name w:val="Основной текст 3"/>
    <w:basedOn w:val="Normal"/>
    <w:qFormat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8"/>
      <w:szCs w:val="20"/>
      <w:lang w:val="en-US"/>
    </w:rPr>
  </w:style>
  <w:style w:type="paragraph" w:styleId="22">
    <w:name w:val="Основной текст 2"/>
    <w:basedOn w:val="Normal"/>
    <w:qFormat/>
    <w:pPr>
      <w:spacing w:lineRule="auto" w:line="480" w:before="0" w:after="120"/>
    </w:pPr>
    <w:rPr>
      <w:sz w:val="20"/>
      <w:szCs w:val="20"/>
      <w:lang w:val="en-US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>
      <w:sz w:val="20"/>
      <w:szCs w:val="20"/>
      <w:lang w:val="en-US"/>
    </w:rPr>
  </w:style>
  <w:style w:type="paragraph" w:styleId="Style19">
    <w:name w:val="Обычный (веб)"/>
    <w:basedOn w:val="Normal"/>
    <w:qFormat/>
    <w:pPr/>
    <w:rPr>
      <w:rFonts w:ascii="Times New Roman" w:hAnsi="Times New Roman" w:cs="Times New Roman"/>
      <w:sz w:val="24"/>
      <w:szCs w:val="24"/>
    </w:rPr>
  </w:style>
  <w:style w:type="paragraph" w:styleId="Style20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note">
    <w:name w:val="Footnote Text"/>
    <w:basedOn w:val="Normal"/>
    <w:pPr/>
    <w:rPr>
      <w:sz w:val="20"/>
      <w:szCs w:val="20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etodkabinet-eadk@mail.ru" TargetMode="External"/><Relationship Id="rId4" Type="http://schemas.openxmlformats.org/officeDocument/2006/relationships/hyperlink" Target="mailto:metodkabinet-eadk@mail.ru" TargetMode="External"/><Relationship Id="rId5" Type="http://schemas.openxmlformats.org/officeDocument/2006/relationships/image" Target="media/image2.png"/><Relationship Id="rId6" Type="http://schemas.openxmlformats.org/officeDocument/2006/relationships/hyperlink" Target="http://worldskills.ru/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LibreOffice/7.4.6.2$Linux_X86_64 LibreOffice_project/40$Build-2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2023-12-29T08:59:00Z</dcterms:created>
  <dc:creator>Администратор</dc:creator>
  <dc:description/>
  <dc:language>en-US</dc:language>
  <cp:lastModifiedBy>User</cp:lastModifiedBy>
  <cp:lastPrinted>2023-12-29T11:03:00Z</cp:lastPrinted>
  <dcterms:modified xsi:type="dcterms:W3CDTF">2023-12-29T09:04:00Z</dcterms:modified>
  <cp:revision>5</cp:revision>
  <dc:subject/>
  <dc:title/>
</cp:coreProperties>
</file>